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Arial" w:cs="Arial" w:eastAsia="Arial" w:hAnsi="Arial"/>
          <w:b w:val="1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0"/>
        </w:rPr>
        <w:t xml:space="preserve">Award Form</w:t>
      </w:r>
    </w:p>
    <w:p w:rsidR="00000000" w:rsidDel="00000000" w:rsidP="00000000" w:rsidRDefault="00000000" w:rsidRPr="00000000" w14:paraId="00000002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This Award Form creates this Contract. It summarises the main features of the procurement and includes the Buyer and the Supplier’s contact details.</w:t>
      </w:r>
    </w:p>
    <w:tbl>
      <w:tblPr>
        <w:tblStyle w:val="Table1"/>
        <w:tblW w:w="9498.0" w:type="dxa"/>
        <w:jc w:val="left"/>
        <w:tblInd w:w="-1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95b3d7" w:space="0" w:sz="4" w:val="single"/>
          <w:insideV w:color="95b3d7" w:space="0" w:sz="4" w:val="single"/>
        </w:tblBorders>
        <w:tblLayout w:type="fixed"/>
        <w:tblLook w:val="0000"/>
      </w:tblPr>
      <w:tblGrid>
        <w:gridCol w:w="426"/>
        <w:gridCol w:w="1842"/>
        <w:gridCol w:w="7230"/>
        <w:tblGridChange w:id="0">
          <w:tblGrid>
            <w:gridCol w:w="426"/>
            <w:gridCol w:w="1842"/>
            <w:gridCol w:w="7230"/>
          </w:tblGrid>
        </w:tblGridChange>
      </w:tblGrid>
      <w:tr>
        <w:trPr>
          <w:cantSplit w:val="0"/>
          <w:trHeight w:val="1060" w:hRule="atLeast"/>
          <w:tblHeader w:val="0"/>
        </w:trPr>
        <w:tc>
          <w:tcPr/>
          <w:p w:rsidR="00000000" w:rsidDel="00000000" w:rsidP="00000000" w:rsidRDefault="00000000" w:rsidRPr="00000000" w14:paraId="00000003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Buyer</w:t>
            </w:r>
          </w:p>
        </w:tc>
        <w:tc>
          <w:tcPr/>
          <w:p w:rsidR="00000000" w:rsidDel="00000000" w:rsidP="00000000" w:rsidRDefault="00000000" w:rsidRPr="00000000" w14:paraId="00000005">
            <w:pP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Crown Commercial Service (the Buyer).</w:t>
            </w:r>
          </w:p>
          <w:p w:rsidR="00000000" w:rsidDel="00000000" w:rsidP="00000000" w:rsidRDefault="00000000" w:rsidRPr="00000000" w14:paraId="00000006">
            <w:pP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Its offices are on: 9th Floor, The Capital, Old Hall Street, Liverpool, L3 9PP</w:t>
            </w:r>
          </w:p>
          <w:p w:rsidR="00000000" w:rsidDel="00000000" w:rsidP="00000000" w:rsidRDefault="00000000" w:rsidRPr="00000000" w14:paraId="00000007">
            <w:pPr>
              <w:spacing w:after="120" w:before="120" w:line="240" w:lineRule="auto"/>
              <w:rPr>
                <w:rFonts w:ascii="Arial" w:cs="Arial" w:eastAsia="Arial" w:hAnsi="Arial"/>
                <w:b w:val="1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70" w:hRule="atLeast"/>
          <w:tblHeader w:val="0"/>
        </w:trPr>
        <w:tc>
          <w:tcPr/>
          <w:p w:rsidR="00000000" w:rsidDel="00000000" w:rsidP="00000000" w:rsidRDefault="00000000" w:rsidRPr="00000000" w14:paraId="00000008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</w:t>
            </w:r>
          </w:p>
        </w:tc>
        <w:tc>
          <w:tcPr/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6132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  <w:insideH w:color="000000" w:space="0" w:sz="0" w:val="nil"/>
                <w:insideV w:color="000000" w:space="0" w:sz="0" w:val="nil"/>
              </w:tblBorders>
              <w:tblLayout w:type="fixed"/>
              <w:tblLook w:val="0400"/>
            </w:tblPr>
            <w:tblGrid>
              <w:gridCol w:w="2296"/>
              <w:gridCol w:w="3836"/>
              <w:tblGridChange w:id="0">
                <w:tblGrid>
                  <w:gridCol w:w="2296"/>
                  <w:gridCol w:w="3836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0B">
                  <w:pPr>
                    <w:spacing w:after="120" w:before="120" w:line="24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Name: </w:t>
                  </w:r>
                </w:p>
              </w:tc>
              <w:tc>
                <w:tcPr/>
                <w:p w:rsidR="00000000" w:rsidDel="00000000" w:rsidP="00000000" w:rsidRDefault="00000000" w:rsidRPr="00000000" w14:paraId="0000000C">
                  <w:pPr>
                    <w:spacing w:after="120" w:before="120" w:line="240" w:lineRule="auto"/>
                    <w:rPr>
                      <w:rFonts w:ascii="Arial" w:cs="Arial" w:eastAsia="Arial" w:hAnsi="Arial"/>
                      <w:b w:val="1"/>
                      <w:i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color w:val="000000"/>
                      <w:sz w:val="24"/>
                      <w:szCs w:val="24"/>
                      <w:highlight w:val="yellow"/>
                      <w:rtl w:val="0"/>
                    </w:rPr>
                    <w:t xml:space="preserve">[Insert </w:t>
                  </w: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highlight w:val="yellow"/>
                      <w:rtl w:val="0"/>
                    </w:rPr>
                    <w:t xml:space="preserve">name (registered name if registered)]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0D">
                  <w:pPr>
                    <w:spacing w:after="120" w:before="120" w:line="24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Address: </w:t>
                  </w:r>
                </w:p>
              </w:tc>
              <w:tc>
                <w:tcPr/>
                <w:p w:rsidR="00000000" w:rsidDel="00000000" w:rsidP="00000000" w:rsidRDefault="00000000" w:rsidRPr="00000000" w14:paraId="0000000E">
                  <w:pPr>
                    <w:spacing w:after="120" w:before="120" w:line="240" w:lineRule="auto"/>
                    <w:rPr>
                      <w:rFonts w:ascii="Arial" w:cs="Arial" w:eastAsia="Arial" w:hAnsi="Arial"/>
                      <w:b w:val="1"/>
                      <w:i w:val="1"/>
                      <w:color w:val="000000"/>
                      <w:sz w:val="24"/>
                      <w:szCs w:val="24"/>
                      <w:highlight w:val="yellow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color w:val="000000"/>
                      <w:sz w:val="24"/>
                      <w:szCs w:val="24"/>
                      <w:highlight w:val="yellow"/>
                      <w:rtl w:val="0"/>
                    </w:rPr>
                    <w:t xml:space="preserve">[Insert</w:t>
                  </w:r>
                  <w:r w:rsidDel="00000000" w:rsidR="00000000" w:rsidRPr="00000000">
                    <w:rPr>
                      <w:rFonts w:ascii="Arial" w:cs="Arial" w:eastAsia="Arial" w:hAnsi="Arial"/>
                      <w:b w:val="1"/>
                      <w:i w:val="1"/>
                      <w:color w:val="000000"/>
                      <w:sz w:val="24"/>
                      <w:szCs w:val="24"/>
                      <w:highlight w:val="yellow"/>
                      <w:rtl w:val="0"/>
                    </w:rPr>
                    <w:t xml:space="preserve"> </w:t>
                  </w: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highlight w:val="yellow"/>
                      <w:rtl w:val="0"/>
                    </w:rPr>
                    <w:t xml:space="preserve">address registered address if registered]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0F">
                  <w:pPr>
                    <w:spacing w:after="120" w:before="120" w:line="24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Registration number: </w:t>
                  </w:r>
                </w:p>
              </w:tc>
              <w:tc>
                <w:tcPr/>
                <w:p w:rsidR="00000000" w:rsidDel="00000000" w:rsidP="00000000" w:rsidRDefault="00000000" w:rsidRPr="00000000" w14:paraId="00000010">
                  <w:pPr>
                    <w:spacing w:after="120" w:before="120" w:line="240" w:lineRule="auto"/>
                    <w:rPr>
                      <w:rFonts w:ascii="Arial" w:cs="Arial" w:eastAsia="Arial" w:hAnsi="Arial"/>
                      <w:b w:val="1"/>
                      <w:i w:val="1"/>
                      <w:color w:val="000000"/>
                      <w:sz w:val="24"/>
                      <w:szCs w:val="24"/>
                      <w:highlight w:val="yellow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color w:val="000000"/>
                      <w:sz w:val="24"/>
                      <w:szCs w:val="24"/>
                      <w:highlight w:val="yellow"/>
                      <w:rtl w:val="0"/>
                    </w:rPr>
                    <w:t xml:space="preserve">[</w:t>
                  </w:r>
                  <w:r w:rsidDel="00000000" w:rsidR="00000000" w:rsidRPr="00000000">
                    <w:rPr>
                      <w:rFonts w:ascii="Arial" w:cs="Arial" w:eastAsia="Arial" w:hAnsi="Arial"/>
                      <w:b w:val="1"/>
                      <w:i w:val="1"/>
                      <w:color w:val="000000"/>
                      <w:sz w:val="24"/>
                      <w:szCs w:val="24"/>
                      <w:highlight w:val="yellow"/>
                      <w:rtl w:val="0"/>
                    </w:rPr>
                    <w:t xml:space="preserve">Insert </w:t>
                  </w: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highlight w:val="yellow"/>
                      <w:rtl w:val="0"/>
                    </w:rPr>
                    <w:t xml:space="preserve">registration number if registered]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11">
                  <w:pPr>
                    <w:spacing w:after="120" w:before="120" w:line="24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SID4GOV ID:</w:t>
                  </w:r>
                </w:p>
              </w:tc>
              <w:tc>
                <w:tcPr/>
                <w:p w:rsidR="00000000" w:rsidDel="00000000" w:rsidP="00000000" w:rsidRDefault="00000000" w:rsidRPr="00000000" w14:paraId="00000012">
                  <w:pPr>
                    <w:spacing w:after="120" w:before="120" w:line="240" w:lineRule="auto"/>
                    <w:rPr>
                      <w:rFonts w:ascii="Arial" w:cs="Arial" w:eastAsia="Arial" w:hAnsi="Arial"/>
                      <w:b w:val="1"/>
                      <w:i w:val="1"/>
                      <w:color w:val="000000"/>
                      <w:sz w:val="24"/>
                      <w:szCs w:val="24"/>
                      <w:highlight w:val="yellow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color w:val="000000"/>
                      <w:sz w:val="24"/>
                      <w:szCs w:val="24"/>
                      <w:highlight w:val="yellow"/>
                      <w:rtl w:val="0"/>
                    </w:rPr>
                    <w:t xml:space="preserve">[Insert</w:t>
                  </w:r>
                  <w:r w:rsidDel="00000000" w:rsidR="00000000" w:rsidRPr="00000000">
                    <w:rPr>
                      <w:rFonts w:ascii="Arial" w:cs="Arial" w:eastAsia="Arial" w:hAnsi="Arial"/>
                      <w:b w:val="1"/>
                      <w:i w:val="1"/>
                      <w:color w:val="000000"/>
                      <w:sz w:val="24"/>
                      <w:szCs w:val="24"/>
                      <w:highlight w:val="yellow"/>
                      <w:rtl w:val="0"/>
                    </w:rPr>
                    <w:t xml:space="preserve"> </w:t>
                  </w: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highlight w:val="yellow"/>
                      <w:rtl w:val="0"/>
                    </w:rPr>
                    <w:t xml:space="preserve">SID4GOV ID if you have one]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13">
            <w:pPr>
              <w:spacing w:after="120" w:before="120" w:line="240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40" w:hRule="atLeast"/>
          <w:tblHeader w:val="0"/>
        </w:trPr>
        <w:tc>
          <w:tcPr/>
          <w:p w:rsidR="00000000" w:rsidDel="00000000" w:rsidP="00000000" w:rsidRDefault="00000000" w:rsidRPr="00000000" w14:paraId="00000014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Contract</w:t>
            </w:r>
          </w:p>
        </w:tc>
        <w:tc>
          <w:tcPr/>
          <w:p w:rsidR="00000000" w:rsidDel="00000000" w:rsidP="00000000" w:rsidRDefault="00000000" w:rsidRPr="00000000" w14:paraId="0000001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This Contract between the Buyer and the Supplier is for the supply of Deliverables, being provision of a cloud-based Energy Trading and Risk Management (ETRM) system - see Schedule 2 (Specification) for full details.</w:t>
            </w:r>
          </w:p>
          <w:p w:rsidR="00000000" w:rsidDel="00000000" w:rsidP="00000000" w:rsidRDefault="00000000" w:rsidRPr="00000000" w14:paraId="0000001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This opportunity is advertised in this Contract Notice in Find A Tender, reference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2024/S 000-036454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(FTS Contract Notice).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0" w:hRule="atLeast"/>
          <w:tblHeader w:val="0"/>
        </w:trPr>
        <w:tc>
          <w:tcPr/>
          <w:p w:rsidR="00000000" w:rsidDel="00000000" w:rsidP="00000000" w:rsidRDefault="00000000" w:rsidRPr="00000000" w14:paraId="00000018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57" w:hanging="357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Contract reference</w:t>
            </w:r>
          </w:p>
        </w:tc>
        <w:tc>
          <w:tcPr/>
          <w:p w:rsidR="00000000" w:rsidDel="00000000" w:rsidP="00000000" w:rsidRDefault="00000000" w:rsidRPr="00000000" w14:paraId="0000001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i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RM6385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0" w:hRule="atLeast"/>
          <w:tblHeader w:val="0"/>
        </w:trPr>
        <w:tc>
          <w:tcPr/>
          <w:p w:rsidR="00000000" w:rsidDel="00000000" w:rsidP="00000000" w:rsidRDefault="00000000" w:rsidRPr="00000000" w14:paraId="0000001B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Collaborative working principles</w:t>
            </w:r>
          </w:p>
        </w:tc>
        <w:tc>
          <w:tcPr/>
          <w:p w:rsidR="00000000" w:rsidDel="00000000" w:rsidP="00000000" w:rsidRDefault="00000000" w:rsidRPr="00000000" w14:paraId="0000001D">
            <w:pPr>
              <w:spacing w:after="120" w:before="120" w:line="240" w:lineRule="auto"/>
              <w:ind w:right="936"/>
              <w:rPr>
                <w:rFonts w:ascii="Arial" w:cs="Arial" w:eastAsia="Arial" w:hAnsi="Arial"/>
                <w:b w:val="1"/>
                <w:i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Collaborative Working Principles do not apply to this Contract.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See Clause 3.1.3 for further details.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0" w:hRule="atLeast"/>
          <w:tblHeader w:val="0"/>
        </w:trPr>
        <w:tc>
          <w:tcPr/>
          <w:p w:rsidR="00000000" w:rsidDel="00000000" w:rsidP="00000000" w:rsidRDefault="00000000" w:rsidRPr="00000000" w14:paraId="0000001F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bookmarkStart w:colFirst="0" w:colLast="0" w:name="_heading=h.3znysh7" w:id="0"/>
            <w:bookmarkEnd w:id="0"/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Financial Transparency Objectives</w:t>
            </w:r>
          </w:p>
        </w:tc>
        <w:tc>
          <w:tcPr/>
          <w:p w:rsidR="00000000" w:rsidDel="00000000" w:rsidP="00000000" w:rsidRDefault="00000000" w:rsidRPr="00000000" w14:paraId="00000021">
            <w:pPr>
              <w:spacing w:after="120" w:before="120" w:line="24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Financial Transparency Objectives do not apply to this Contract.</w:t>
            </w:r>
          </w:p>
          <w:p w:rsidR="00000000" w:rsidDel="00000000" w:rsidP="00000000" w:rsidRDefault="00000000" w:rsidRPr="00000000" w14:paraId="00000022">
            <w:pPr>
              <w:spacing w:after="120" w:before="120" w:line="24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See Clause 6.3 for further details.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0" w:hRule="atLeast"/>
          <w:tblHeader w:val="0"/>
        </w:trPr>
        <w:tc>
          <w:tcPr/>
          <w:p w:rsidR="00000000" w:rsidDel="00000000" w:rsidP="00000000" w:rsidRDefault="00000000" w:rsidRPr="00000000" w14:paraId="00000023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Start Date</w:t>
            </w:r>
          </w:p>
        </w:tc>
        <w:tc>
          <w:tcPr/>
          <w:p w:rsidR="00000000" w:rsidDel="00000000" w:rsidP="00000000" w:rsidRDefault="00000000" w:rsidRPr="00000000" w14:paraId="00000025">
            <w:pPr>
              <w:spacing w:after="120" w:before="120" w:line="240" w:lineRule="auto"/>
              <w:ind w:right="936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25/02/2025</w:t>
            </w:r>
          </w:p>
          <w:p w:rsidR="00000000" w:rsidDel="00000000" w:rsidP="00000000" w:rsidRDefault="00000000" w:rsidRPr="00000000" w14:paraId="00000026">
            <w:pPr>
              <w:spacing w:after="120" w:before="120" w:line="24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supplier must complete all activities needed to deploy the ETRM and make it ready for live business use by 11th April 2025. There will then be a period of dual-running alongside the existing solution until that contract expires on 18th May 2025.</w:t>
            </w:r>
          </w:p>
        </w:tc>
      </w:tr>
      <w:tr>
        <w:trPr>
          <w:cantSplit w:val="0"/>
          <w:trHeight w:val="460" w:hRule="atLeast"/>
          <w:tblHeader w:val="0"/>
        </w:trPr>
        <w:tc>
          <w:tcPr/>
          <w:p w:rsidR="00000000" w:rsidDel="00000000" w:rsidP="00000000" w:rsidRDefault="00000000" w:rsidRPr="00000000" w14:paraId="00000027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Expiry Date</w:t>
            </w:r>
          </w:p>
        </w:tc>
        <w:tc>
          <w:tcPr/>
          <w:p w:rsidR="00000000" w:rsidDel="00000000" w:rsidP="00000000" w:rsidRDefault="00000000" w:rsidRPr="00000000" w14:paraId="0000002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i w:val="1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24/02/2027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0" w:hRule="atLeast"/>
          <w:tblHeader w:val="0"/>
        </w:trPr>
        <w:tc>
          <w:tcPr/>
          <w:p w:rsidR="00000000" w:rsidDel="00000000" w:rsidP="00000000" w:rsidRDefault="00000000" w:rsidRPr="00000000" w14:paraId="0000002A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Extension Period</w:t>
            </w:r>
          </w:p>
        </w:tc>
        <w:tc>
          <w:tcPr/>
          <w:p w:rsidR="00000000" w:rsidDel="00000000" w:rsidP="00000000" w:rsidRDefault="00000000" w:rsidRPr="00000000" w14:paraId="0000002C">
            <w:pPr>
              <w:spacing w:after="120" w:before="120" w:line="24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Contract will be established for 24 months with the option for us to extend for 3 12 month periods (2+1+1+1).</w:t>
            </w:r>
          </w:p>
        </w:tc>
      </w:tr>
      <w:tr>
        <w:trPr>
          <w:cantSplit w:val="0"/>
          <w:trHeight w:val="460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4" w:firstLine="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Ending this Contract without a reason</w:t>
            </w:r>
          </w:p>
        </w:tc>
        <w:tc>
          <w:tcPr/>
          <w:p w:rsidR="00000000" w:rsidDel="00000000" w:rsidP="00000000" w:rsidRDefault="00000000" w:rsidRPr="00000000" w14:paraId="0000002F">
            <w:pPr>
              <w:spacing w:after="120" w:before="120" w:line="24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Buyer shall be able to terminate this Contract in accordance with Clause 14.3.</w:t>
            </w:r>
          </w:p>
        </w:tc>
      </w:tr>
      <w:tr>
        <w:trPr>
          <w:cantSplit w:val="0"/>
          <w:trHeight w:val="460" w:hRule="atLeast"/>
          <w:tblHeader w:val="0"/>
        </w:trPr>
        <w:tc>
          <w:tcPr/>
          <w:p w:rsidR="00000000" w:rsidDel="00000000" w:rsidP="00000000" w:rsidRDefault="00000000" w:rsidRPr="00000000" w14:paraId="00000030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Incorporated Terms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4" w:firstLine="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(together these documents form the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"this Contract"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)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3">
            <w:pP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following documents are incorporated into this Contract. Where numbers are missing we are not using these Schedules. If there is any conflict, the following order of precedence applies:</w:t>
            </w:r>
          </w:p>
          <w:p w:rsidR="00000000" w:rsidDel="00000000" w:rsidP="00000000" w:rsidRDefault="00000000" w:rsidRPr="00000000" w14:paraId="00000034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739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This Award Form</w:t>
            </w:r>
          </w:p>
          <w:p w:rsidR="00000000" w:rsidDel="00000000" w:rsidP="00000000" w:rsidRDefault="00000000" w:rsidRPr="00000000" w14:paraId="00000035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739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Any Special Terms (see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Section 14 (Special Terms)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in this Award Form)</w:t>
            </w:r>
          </w:p>
          <w:p w:rsidR="00000000" w:rsidDel="00000000" w:rsidP="00000000" w:rsidRDefault="00000000" w:rsidRPr="00000000" w14:paraId="00000036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739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Core Terms</w:t>
            </w:r>
          </w:p>
          <w:p w:rsidR="00000000" w:rsidDel="00000000" w:rsidP="00000000" w:rsidRDefault="00000000" w:rsidRPr="00000000" w14:paraId="00000037">
            <w:pPr>
              <w:numPr>
                <w:ilvl w:val="0"/>
                <w:numId w:val="2"/>
              </w:numPr>
              <w:spacing w:after="120" w:before="120" w:line="240" w:lineRule="auto"/>
              <w:ind w:left="739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36 (Intellectual Property Rights) </w:t>
            </w:r>
          </w:p>
          <w:p w:rsidR="00000000" w:rsidDel="00000000" w:rsidP="00000000" w:rsidRDefault="00000000" w:rsidRPr="00000000" w14:paraId="00000038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739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1 (Definitions) </w:t>
            </w:r>
          </w:p>
          <w:p w:rsidR="00000000" w:rsidDel="00000000" w:rsidP="00000000" w:rsidRDefault="00000000" w:rsidRPr="00000000" w14:paraId="00000039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739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6 (Transparency Reports)</w:t>
            </w:r>
          </w:p>
          <w:p w:rsidR="00000000" w:rsidDel="00000000" w:rsidP="00000000" w:rsidRDefault="00000000" w:rsidRPr="00000000" w14:paraId="0000003A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739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20 (Processing Data) </w:t>
            </w:r>
          </w:p>
          <w:p w:rsidR="00000000" w:rsidDel="00000000" w:rsidP="00000000" w:rsidRDefault="00000000" w:rsidRPr="00000000" w14:paraId="0000003B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739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following Schedules (in equal order of precedence):</w:t>
            </w:r>
          </w:p>
          <w:p w:rsidR="00000000" w:rsidDel="00000000" w:rsidP="00000000" w:rsidRDefault="00000000" w:rsidRPr="00000000" w14:paraId="0000003C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2 (Specification)</w:t>
            </w:r>
          </w:p>
          <w:p w:rsidR="00000000" w:rsidDel="00000000" w:rsidP="00000000" w:rsidRDefault="00000000" w:rsidRPr="00000000" w14:paraId="0000003D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3 (Charges)</w:t>
            </w:r>
          </w:p>
          <w:p w:rsidR="00000000" w:rsidDel="00000000" w:rsidP="00000000" w:rsidRDefault="00000000" w:rsidRPr="00000000" w14:paraId="0000003E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5 (Commercially Sensitive Information)</w:t>
            </w:r>
          </w:p>
          <w:p w:rsidR="00000000" w:rsidDel="00000000" w:rsidP="00000000" w:rsidRDefault="00000000" w:rsidRPr="00000000" w14:paraId="0000003F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8 (Implementation Plan &amp; Testing)</w:t>
            </w:r>
          </w:p>
          <w:p w:rsidR="00000000" w:rsidDel="00000000" w:rsidP="00000000" w:rsidRDefault="00000000" w:rsidRPr="00000000" w14:paraId="00000040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10 (Service Levels)</w:t>
            </w:r>
          </w:p>
          <w:p w:rsidR="00000000" w:rsidDel="00000000" w:rsidP="00000000" w:rsidRDefault="00000000" w:rsidRPr="00000000" w14:paraId="00000041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11 (Continuous Improvement)</w:t>
            </w:r>
          </w:p>
          <w:p w:rsidR="00000000" w:rsidDel="00000000" w:rsidP="00000000" w:rsidRDefault="00000000" w:rsidRPr="00000000" w14:paraId="00000042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13 (Contract Management)</w:t>
            </w:r>
          </w:p>
          <w:p w:rsidR="00000000" w:rsidDel="00000000" w:rsidP="00000000" w:rsidRDefault="00000000" w:rsidRPr="00000000" w14:paraId="00000043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14 (Business Continuity and Disaster Recovery)</w:t>
            </w:r>
          </w:p>
          <w:p w:rsidR="00000000" w:rsidDel="00000000" w:rsidP="00000000" w:rsidRDefault="00000000" w:rsidRPr="00000000" w14:paraId="00000044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16 (Security)</w:t>
            </w:r>
          </w:p>
          <w:p w:rsidR="00000000" w:rsidDel="00000000" w:rsidP="00000000" w:rsidRDefault="00000000" w:rsidRPr="00000000" w14:paraId="00000045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19 (Cyber Essentials Scheme)</w:t>
            </w:r>
          </w:p>
          <w:p w:rsidR="00000000" w:rsidDel="00000000" w:rsidP="00000000" w:rsidRDefault="00000000" w:rsidRPr="00000000" w14:paraId="00000046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21 (Variation Form)</w:t>
            </w:r>
          </w:p>
          <w:p w:rsidR="00000000" w:rsidDel="00000000" w:rsidP="00000000" w:rsidRDefault="00000000" w:rsidRPr="00000000" w14:paraId="00000047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22 (Insurance Requirements)</w:t>
            </w:r>
          </w:p>
          <w:p w:rsidR="00000000" w:rsidDel="00000000" w:rsidP="00000000" w:rsidRDefault="00000000" w:rsidRPr="00000000" w14:paraId="00000048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23 (Guarantee)</w:t>
            </w:r>
          </w:p>
          <w:p w:rsidR="00000000" w:rsidDel="00000000" w:rsidP="00000000" w:rsidRDefault="00000000" w:rsidRPr="00000000" w14:paraId="00000049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24 (Financial Difficulties)</w:t>
            </w:r>
          </w:p>
          <w:p w:rsidR="00000000" w:rsidDel="00000000" w:rsidP="00000000" w:rsidRDefault="00000000" w:rsidRPr="00000000" w14:paraId="0000004A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25 (Rectification Plan)</w:t>
            </w:r>
          </w:p>
          <w:p w:rsidR="00000000" w:rsidDel="00000000" w:rsidP="00000000" w:rsidRDefault="00000000" w:rsidRPr="00000000" w14:paraId="0000004B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26 (Sustainability)</w:t>
            </w:r>
          </w:p>
          <w:p w:rsidR="00000000" w:rsidDel="00000000" w:rsidP="00000000" w:rsidRDefault="00000000" w:rsidRPr="00000000" w14:paraId="0000004C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27 (Key Subcontractors)</w:t>
            </w:r>
          </w:p>
          <w:p w:rsidR="00000000" w:rsidDel="00000000" w:rsidP="00000000" w:rsidRDefault="00000000" w:rsidRPr="00000000" w14:paraId="0000004D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28 (ICT Services)</w:t>
            </w:r>
          </w:p>
          <w:p w:rsidR="00000000" w:rsidDel="00000000" w:rsidP="00000000" w:rsidRDefault="00000000" w:rsidRPr="00000000" w14:paraId="0000004E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30 (Exit Management)</w:t>
            </w:r>
          </w:p>
          <w:p w:rsidR="00000000" w:rsidDel="00000000" w:rsidP="00000000" w:rsidRDefault="00000000" w:rsidRPr="00000000" w14:paraId="0000004F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32 (Background Checks)</w:t>
            </w:r>
          </w:p>
          <w:p w:rsidR="00000000" w:rsidDel="00000000" w:rsidP="00000000" w:rsidRDefault="00000000" w:rsidRPr="00000000" w14:paraId="00000050">
            <w:pPr>
              <w:numPr>
                <w:ilvl w:val="1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448"/>
              </w:tabs>
              <w:spacing w:after="120" w:before="120" w:line="240" w:lineRule="auto"/>
              <w:ind w:left="1448" w:hanging="709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Schedule 37 (Corporate Resolution Planning Information)</w:t>
            </w:r>
          </w:p>
          <w:p w:rsidR="00000000" w:rsidDel="00000000" w:rsidP="00000000" w:rsidRDefault="00000000" w:rsidRPr="00000000" w14:paraId="00000051">
            <w:pPr>
              <w:pStyle w:val="Heading4"/>
              <w:keepNext w:val="0"/>
              <w:keepLines w:val="0"/>
              <w:spacing w:after="120" w:before="120" w:line="240" w:lineRule="auto"/>
              <w:rPr>
                <w:rFonts w:ascii="Arial" w:cs="Arial" w:eastAsia="Arial" w:hAnsi="Arial"/>
                <w:b w:val="0"/>
                <w:color w:val="000000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Schedule 4 (Tender), unless any part of the Tender offers a better commercial position for the Buyer (as decided by the Buyer, in its absolute discretion), in which case that part of the Tender will take precedence over the documents above.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20" w:hRule="atLeast"/>
          <w:tblHeader w:val="0"/>
        </w:trPr>
        <w:tc>
          <w:tcPr/>
          <w:p w:rsidR="00000000" w:rsidDel="00000000" w:rsidP="00000000" w:rsidRDefault="00000000" w:rsidRPr="00000000" w14:paraId="00000052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3">
            <w:pP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Special Terms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Not applicable</w:t>
            </w:r>
          </w:p>
        </w:tc>
      </w:tr>
      <w:tr>
        <w:trPr>
          <w:cantSplit w:val="0"/>
          <w:trHeight w:val="635" w:hRule="atLeast"/>
          <w:tblHeader w:val="0"/>
        </w:trPr>
        <w:tc>
          <w:tcPr/>
          <w:p w:rsidR="00000000" w:rsidDel="00000000" w:rsidP="00000000" w:rsidRDefault="00000000" w:rsidRPr="00000000" w14:paraId="00000055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bookmarkStart w:colFirst="0" w:colLast="0" w:name="_heading=h.30j0zll" w:id="1"/>
            <w:bookmarkEnd w:id="1"/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Buyer’s Environmental Policy </w:t>
            </w:r>
          </w:p>
        </w:tc>
        <w:tc>
          <w:tcPr/>
          <w:p w:rsidR="00000000" w:rsidDel="00000000" w:rsidP="00000000" w:rsidRDefault="00000000" w:rsidRPr="00000000" w14:paraId="0000005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1985"/>
                <w:tab w:val="left" w:leader="none" w:pos="2127"/>
                <w:tab w:val="left" w:leader="none" w:pos="741"/>
              </w:tabs>
              <w:spacing w:after="120" w:before="120" w:line="240" w:lineRule="auto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Not applicable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/>
          <w:p w:rsidR="00000000" w:rsidDel="00000000" w:rsidP="00000000" w:rsidRDefault="00000000" w:rsidRPr="00000000" w14:paraId="00000058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Social Value Commitment</w:t>
            </w:r>
          </w:p>
        </w:tc>
        <w:tc>
          <w:tcPr/>
          <w:p w:rsidR="00000000" w:rsidDel="00000000" w:rsidP="00000000" w:rsidRDefault="00000000" w:rsidRPr="00000000" w14:paraId="0000005A">
            <w:pPr>
              <w:spacing w:after="120" w:before="120" w:line="240" w:lineRule="auto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Supplier agrees, in providing the Deliverables and performing its obligations under this Contract, to deliver the Social Value outcomes in Schedule 4 (Tender) and provide the Social Value Reports as set out in Schedule 26 (Sustainability).</w:t>
            </w:r>
          </w:p>
        </w:tc>
      </w:tr>
      <w:tr>
        <w:trPr>
          <w:cantSplit w:val="0"/>
          <w:trHeight w:val="40" w:hRule="atLeast"/>
          <w:tblHeader w:val="0"/>
        </w:trPr>
        <w:tc>
          <w:tcPr/>
          <w:p w:rsidR="00000000" w:rsidDel="00000000" w:rsidP="00000000" w:rsidRDefault="00000000" w:rsidRPr="00000000" w14:paraId="0000005B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Buyer’s Security Requirements and Security and ICT Policy</w:t>
            </w:r>
          </w:p>
        </w:tc>
        <w:tc>
          <w:tcPr/>
          <w:p w:rsidR="00000000" w:rsidDel="00000000" w:rsidP="00000000" w:rsidRDefault="00000000" w:rsidRPr="00000000" w14:paraId="0000005D">
            <w:pPr>
              <w:tabs>
                <w:tab w:val="left" w:leader="none" w:pos="2257"/>
              </w:tabs>
              <w:spacing w:after="120" w:before="120" w:line="240" w:lineRule="auto"/>
              <w:rPr>
                <w:rFonts w:ascii="Arial" w:cs="Arial" w:eastAsia="Arial" w:hAnsi="Arial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4"/>
                <w:szCs w:val="24"/>
                <w:rtl w:val="0"/>
              </w:rPr>
              <w:t xml:space="preserve">As set out in Schedule 16 (Security) and Schedule 28 (ICT Services).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/>
          <w:p w:rsidR="00000000" w:rsidDel="00000000" w:rsidP="00000000" w:rsidRDefault="00000000" w:rsidRPr="00000000" w14:paraId="0000005E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Charges</w:t>
            </w:r>
          </w:p>
        </w:tc>
        <w:tc>
          <w:tcPr/>
          <w:p w:rsidR="00000000" w:rsidDel="00000000" w:rsidP="00000000" w:rsidRDefault="00000000" w:rsidRPr="00000000" w14:paraId="0000006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Ongoing service charge, plus initial set-up and training costs.</w:t>
            </w:r>
          </w:p>
          <w:p w:rsidR="00000000" w:rsidDel="00000000" w:rsidP="00000000" w:rsidRDefault="00000000" w:rsidRPr="00000000" w14:paraId="0000006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Indexation is not applicable.</w:t>
            </w:r>
          </w:p>
          <w:p w:rsidR="00000000" w:rsidDel="00000000" w:rsidP="00000000" w:rsidRDefault="00000000" w:rsidRPr="00000000" w14:paraId="00000062">
            <w:pPr>
              <w:tabs>
                <w:tab w:val="left" w:leader="none" w:pos="2257"/>
              </w:tabs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Details in Schedule 3 (Charges)</w:t>
            </w:r>
          </w:p>
        </w:tc>
      </w:tr>
      <w:tr>
        <w:trPr>
          <w:cantSplit w:val="0"/>
          <w:trHeight w:val="40" w:hRule="atLeast"/>
          <w:tblHeader w:val="0"/>
        </w:trPr>
        <w:tc>
          <w:tcPr/>
          <w:p w:rsidR="00000000" w:rsidDel="00000000" w:rsidP="00000000" w:rsidRDefault="00000000" w:rsidRPr="00000000" w14:paraId="00000063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Estimated Year 1 Charges</w:t>
            </w:r>
          </w:p>
        </w:tc>
        <w:tc>
          <w:tcPr/>
          <w:p w:rsidR="00000000" w:rsidDel="00000000" w:rsidP="00000000" w:rsidRDefault="00000000" w:rsidRPr="00000000" w14:paraId="00000065">
            <w:pP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[Insert Estimated Year 1 Charges]</w:t>
            </w:r>
          </w:p>
        </w:tc>
      </w:tr>
      <w:tr>
        <w:trPr>
          <w:cantSplit w:val="0"/>
          <w:trHeight w:val="40" w:hRule="atLeast"/>
          <w:tblHeader w:val="0"/>
        </w:trPr>
        <w:tc>
          <w:tcPr/>
          <w:p w:rsidR="00000000" w:rsidDel="00000000" w:rsidP="00000000" w:rsidRDefault="00000000" w:rsidRPr="00000000" w14:paraId="00000066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7">
            <w:pPr>
              <w:spacing w:after="120" w:before="120" w:line="240" w:lineRule="auto"/>
              <w:ind w:left="31" w:firstLine="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Reimbursable expenses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68">
            <w:pPr>
              <w:spacing w:after="120" w:before="120" w:line="240" w:lineRule="auto"/>
              <w:ind w:left="32" w:firstLine="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 None or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 Insert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4"/>
                <w:szCs w:val="24"/>
                <w:highlight w:val="yellow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Recoverable as set out in Schedule 3 (Charges)]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0" w:hRule="atLeast"/>
          <w:tblHeader w:val="0"/>
        </w:trPr>
        <w:tc>
          <w:tcPr/>
          <w:p w:rsidR="00000000" w:rsidDel="00000000" w:rsidP="00000000" w:rsidRDefault="00000000" w:rsidRPr="00000000" w14:paraId="00000069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Payment method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6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Quarterly payment of service charge in arrears by bank transfer, with the exception of initial set up costs which will be paid after successful go-live.</w:t>
            </w:r>
          </w:p>
        </w:tc>
      </w:tr>
      <w:tr>
        <w:trPr>
          <w:cantSplit w:val="0"/>
          <w:trHeight w:val="560" w:hRule="atLeast"/>
          <w:tblHeader w:val="0"/>
        </w:trPr>
        <w:tc>
          <w:tcPr/>
          <w:p w:rsidR="00000000" w:rsidDel="00000000" w:rsidP="00000000" w:rsidRDefault="00000000" w:rsidRPr="00000000" w14:paraId="0000006C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Service Levels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6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i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Service Credits will accrue in accordance with Schedule 10 (Service Levels).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0" w:hRule="atLeast"/>
          <w:tblHeader w:val="0"/>
        </w:trPr>
        <w:tc>
          <w:tcPr/>
          <w:p w:rsidR="00000000" w:rsidDel="00000000" w:rsidP="00000000" w:rsidRDefault="00000000" w:rsidRPr="00000000" w14:paraId="0000006F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29" w:hanging="29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Liability</w:t>
            </w:r>
          </w:p>
        </w:tc>
        <w:tc>
          <w:tcPr/>
          <w:p w:rsidR="00000000" w:rsidDel="00000000" w:rsidP="00000000" w:rsidRDefault="00000000" w:rsidRPr="00000000" w14:paraId="00000071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 accordance with Clause 15.1 each Party's total aggregate liability in each Contract Year under this Contract (whether in tort, contract or otherwise) is no more than the greater of £5 million or 150% of the Estimated Yearly Charges.</w:t>
            </w:r>
          </w:p>
        </w:tc>
      </w:tr>
      <w:tr>
        <w:trPr>
          <w:cantSplit w:val="0"/>
          <w:trHeight w:val="920" w:hRule="atLeast"/>
          <w:tblHeader w:val="0"/>
        </w:trPr>
        <w:tc>
          <w:tcPr/>
          <w:p w:rsidR="00000000" w:rsidDel="00000000" w:rsidP="00000000" w:rsidRDefault="00000000" w:rsidRPr="00000000" w14:paraId="00000072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bookmarkStart w:colFirst="0" w:colLast="0" w:name="_heading=h.1fob9te" w:id="2"/>
            <w:bookmarkEnd w:id="2"/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Cyber Essentials Certification</w:t>
            </w:r>
          </w:p>
        </w:tc>
        <w:tc>
          <w:tcPr/>
          <w:p w:rsidR="00000000" w:rsidDel="00000000" w:rsidP="00000000" w:rsidRDefault="00000000" w:rsidRPr="00000000" w14:paraId="0000007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Cyber Essentials Scheme Certificate (or equivalent). Details in Schedule 19 (Cyber Essentials Scheme).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20" w:hRule="atLeast"/>
          <w:tblHeader w:val="0"/>
        </w:trPr>
        <w:tc>
          <w:tcPr/>
          <w:p w:rsidR="00000000" w:rsidDel="00000000" w:rsidP="00000000" w:rsidRDefault="00000000" w:rsidRPr="00000000" w14:paraId="00000075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Progress Meetings and Progress Reports</w:t>
            </w:r>
          </w:p>
        </w:tc>
        <w:tc>
          <w:tcPr/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4" w:right="0" w:hanging="360"/>
              <w:jc w:val="left"/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Supplier shall attend Progress Meetings with the Buyer every three (3) months</w:t>
            </w:r>
          </w:p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4" w:right="0" w:hanging="360"/>
              <w:jc w:val="left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Supplier shall provide the Buyer with Progress Reports every month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20" w:hRule="atLeast"/>
          <w:tblHeader w:val="0"/>
        </w:trPr>
        <w:tc>
          <w:tcPr/>
          <w:p w:rsidR="00000000" w:rsidDel="00000000" w:rsidP="00000000" w:rsidRDefault="00000000" w:rsidRPr="00000000" w14:paraId="00000079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Guarantor</w:t>
            </w:r>
          </w:p>
        </w:tc>
        <w:tc>
          <w:tcPr/>
          <w:p w:rsidR="00000000" w:rsidDel="00000000" w:rsidP="00000000" w:rsidRDefault="00000000" w:rsidRPr="00000000" w14:paraId="0000007B">
            <w:pP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[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Insert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Not applicable</w:t>
            </w:r>
          </w:p>
          <w:p w:rsidR="00000000" w:rsidDel="00000000" w:rsidP="00000000" w:rsidRDefault="00000000" w:rsidRPr="00000000" w14:paraId="0000007C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74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or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000000"/>
                <w:sz w:val="24"/>
                <w:szCs w:val="24"/>
                <w:highlight w:val="yellow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insert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Supplier’s performance will be guaranteed by [Insert name of Guarantor] and has entered into a guarantee using the form in Schedule 23 (Guarantee)]</w:t>
            </w:r>
          </w:p>
        </w:tc>
      </w:tr>
      <w:tr>
        <w:trPr>
          <w:cantSplit w:val="0"/>
          <w:trHeight w:val="720" w:hRule="atLeast"/>
          <w:tblHeader w:val="0"/>
        </w:trPr>
        <w:tc>
          <w:tcPr/>
          <w:p w:rsidR="00000000" w:rsidDel="00000000" w:rsidP="00000000" w:rsidRDefault="00000000" w:rsidRPr="00000000" w14:paraId="0000007D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Virtual Library</w:t>
            </w:r>
          </w:p>
        </w:tc>
        <w:tc>
          <w:tcPr/>
          <w:p w:rsidR="00000000" w:rsidDel="00000000" w:rsidP="00000000" w:rsidRDefault="00000000" w:rsidRPr="00000000" w14:paraId="0000007F">
            <w:pP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 accordance with Paragraph 2.2. of Schedule 30 (Exit Management)</w:t>
            </w:r>
          </w:p>
          <w:p w:rsidR="00000000" w:rsidDel="00000000" w:rsidP="00000000" w:rsidRDefault="00000000" w:rsidRPr="00000000" w14:paraId="00000080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period in which the Supplier must create and maintain the Virtual Library, is the duration of the contract; and</w:t>
            </w:r>
          </w:p>
          <w:p w:rsidR="00000000" w:rsidDel="00000000" w:rsidP="00000000" w:rsidRDefault="00000000" w:rsidRPr="00000000" w14:paraId="00000081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Supplier shall update the Virtual Library every month.</w:t>
            </w:r>
          </w:p>
        </w:tc>
      </w:tr>
      <w:tr>
        <w:trPr>
          <w:cantSplit w:val="0"/>
          <w:trHeight w:val="720" w:hRule="atLeast"/>
          <w:tblHeader w:val="0"/>
        </w:trPr>
        <w:tc>
          <w:tcPr/>
          <w:p w:rsidR="00000000" w:rsidDel="00000000" w:rsidP="00000000" w:rsidRDefault="00000000" w:rsidRPr="00000000" w14:paraId="00000082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Supplier’s Contract Manager</w:t>
            </w:r>
          </w:p>
        </w:tc>
        <w:tc>
          <w:tcPr/>
          <w:p w:rsidR="00000000" w:rsidDel="00000000" w:rsidP="00000000" w:rsidRDefault="00000000" w:rsidRPr="00000000" w14:paraId="00000084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name]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job title]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email address]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phone number]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20" w:hRule="atLeast"/>
          <w:tblHeader w:val="0"/>
        </w:trPr>
        <w:tc>
          <w:tcPr/>
          <w:p w:rsidR="00000000" w:rsidDel="00000000" w:rsidP="00000000" w:rsidRDefault="00000000" w:rsidRPr="00000000" w14:paraId="00000088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Authorised Representative</w:t>
            </w:r>
          </w:p>
        </w:tc>
        <w:tc>
          <w:tcPr/>
          <w:p w:rsidR="00000000" w:rsidDel="00000000" w:rsidP="00000000" w:rsidRDefault="00000000" w:rsidRPr="00000000" w14:paraId="0000008A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name]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job title]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email address]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spacing w:after="120" w:before="120" w:line="240" w:lineRule="auto"/>
              <w:rPr>
                <w:rFonts w:ascii="Arial" w:cs="Arial" w:eastAsia="Arial" w:hAnsi="Arial"/>
                <w:b w:val="1"/>
                <w:i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phone number]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20" w:hRule="atLeast"/>
          <w:tblHeader w:val="0"/>
        </w:trPr>
        <w:tc>
          <w:tcPr/>
          <w:p w:rsidR="00000000" w:rsidDel="00000000" w:rsidP="00000000" w:rsidRDefault="00000000" w:rsidRPr="00000000" w14:paraId="0000008E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Compliance Officer</w:t>
            </w:r>
          </w:p>
        </w:tc>
        <w:tc>
          <w:tcPr/>
          <w:p w:rsidR="00000000" w:rsidDel="00000000" w:rsidP="00000000" w:rsidRDefault="00000000" w:rsidRPr="00000000" w14:paraId="00000090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name]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1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job title]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email address]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phone number]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20" w:hRule="atLeast"/>
          <w:tblHeader w:val="0"/>
        </w:trPr>
        <w:tc>
          <w:tcPr/>
          <w:p w:rsidR="00000000" w:rsidDel="00000000" w:rsidP="00000000" w:rsidRDefault="00000000" w:rsidRPr="00000000" w14:paraId="00000094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Data Protection Officer</w:t>
            </w:r>
          </w:p>
        </w:tc>
        <w:tc>
          <w:tcPr/>
          <w:p w:rsidR="00000000" w:rsidDel="00000000" w:rsidP="00000000" w:rsidRDefault="00000000" w:rsidRPr="00000000" w14:paraId="00000096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name]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job title]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email address]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phone number]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20" w:hRule="atLeast"/>
          <w:tblHeader w:val="0"/>
        </w:trPr>
        <w:tc>
          <w:tcPr/>
          <w:p w:rsidR="00000000" w:rsidDel="00000000" w:rsidP="00000000" w:rsidRDefault="00000000" w:rsidRPr="00000000" w14:paraId="0000009A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Marketing Contact</w:t>
            </w:r>
          </w:p>
        </w:tc>
        <w:tc>
          <w:tcPr/>
          <w:p w:rsidR="00000000" w:rsidDel="00000000" w:rsidP="00000000" w:rsidRDefault="00000000" w:rsidRPr="00000000" w14:paraId="0000009C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name]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job title]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email address]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phone number]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20" w:hRule="atLeast"/>
          <w:tblHeader w:val="0"/>
        </w:trPr>
        <w:tc>
          <w:tcPr/>
          <w:p w:rsidR="00000000" w:rsidDel="00000000" w:rsidP="00000000" w:rsidRDefault="00000000" w:rsidRPr="00000000" w14:paraId="000000A0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Key Subcontractors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2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Key Subcontractor 1</w:t>
            </w:r>
          </w:p>
          <w:p w:rsidR="00000000" w:rsidDel="00000000" w:rsidP="00000000" w:rsidRDefault="00000000" w:rsidRPr="00000000" w14:paraId="000000A3">
            <w:pP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Name (Registered name if registered):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name]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Registration number (if registered):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number]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5">
            <w:pPr>
              <w:spacing w:after="120" w:before="12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Role of Subcontractor: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role]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6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000000"/>
                <w:sz w:val="24"/>
                <w:szCs w:val="24"/>
                <w:highlight w:val="yellow"/>
                <w:rtl w:val="0"/>
              </w:rPr>
              <w:t xml:space="preserve">[Guidance: copy above lines as needed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000000"/>
                <w:sz w:val="24"/>
                <w:szCs w:val="24"/>
                <w:rtl w:val="0"/>
              </w:rPr>
              <w:t xml:space="preserve">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20" w:hRule="atLeast"/>
          <w:tblHeader w:val="0"/>
        </w:trPr>
        <w:tc>
          <w:tcPr/>
          <w:p w:rsidR="00000000" w:rsidDel="00000000" w:rsidP="00000000" w:rsidRDefault="00000000" w:rsidRPr="00000000" w14:paraId="000000A7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Buyer Authorised Representative</w:t>
            </w:r>
          </w:p>
        </w:tc>
        <w:tc>
          <w:tcPr/>
          <w:p w:rsidR="00000000" w:rsidDel="00000000" w:rsidP="00000000" w:rsidRDefault="00000000" w:rsidRPr="00000000" w14:paraId="000000A9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name]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job title]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B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email address]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C">
            <w:pPr>
              <w:spacing w:after="120" w:before="120" w:line="240" w:lineRule="auto"/>
              <w:rPr>
                <w:rFonts w:ascii="Arial" w:cs="Arial" w:eastAsia="Arial" w:hAnsi="Arial"/>
                <w:b w:val="1"/>
                <w:i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  <w:rtl w:val="0"/>
              </w:rPr>
              <w:t xml:space="preserve">[Insert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  <w:rtl w:val="0"/>
              </w:rPr>
              <w:t xml:space="preserve">phone number]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D">
      <w:pPr>
        <w:spacing w:after="120" w:lineRule="auto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170.000000000002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526"/>
        <w:gridCol w:w="2980"/>
        <w:gridCol w:w="1698"/>
        <w:gridCol w:w="2966"/>
        <w:tblGridChange w:id="0">
          <w:tblGrid>
            <w:gridCol w:w="1526"/>
            <w:gridCol w:w="2980"/>
            <w:gridCol w:w="1698"/>
            <w:gridCol w:w="2966"/>
          </w:tblGrid>
        </w:tblGridChange>
      </w:tblGrid>
      <w:tr>
        <w:trPr>
          <w:cantSplit w:val="0"/>
          <w:trHeight w:val="1162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A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For and on behalf of the Supplier: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B0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jc w:val="both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For and on behalf of the Buyer</w:t>
            </w:r>
          </w:p>
        </w:tc>
      </w:tr>
      <w:tr>
        <w:trPr>
          <w:cantSplit w:val="0"/>
          <w:trHeight w:val="620" w:hRule="atLeast"/>
          <w:tblHeader w:val="0"/>
        </w:trPr>
        <w:tc>
          <w:tcPr/>
          <w:p w:rsidR="00000000" w:rsidDel="00000000" w:rsidP="00000000" w:rsidRDefault="00000000" w:rsidRPr="00000000" w14:paraId="000000B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Signature:</w:t>
            </w:r>
          </w:p>
        </w:tc>
        <w:tc>
          <w:tcPr/>
          <w:p w:rsidR="00000000" w:rsidDel="00000000" w:rsidP="00000000" w:rsidRDefault="00000000" w:rsidRPr="00000000" w14:paraId="000000B3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4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Signature:</w:t>
            </w:r>
          </w:p>
        </w:tc>
        <w:tc>
          <w:tcPr/>
          <w:p w:rsidR="00000000" w:rsidDel="00000000" w:rsidP="00000000" w:rsidRDefault="00000000" w:rsidRPr="00000000" w14:paraId="000000B5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20" w:hRule="atLeast"/>
          <w:tblHeader w:val="0"/>
        </w:trPr>
        <w:tc>
          <w:tcPr/>
          <w:p w:rsidR="00000000" w:rsidDel="00000000" w:rsidP="00000000" w:rsidRDefault="00000000" w:rsidRPr="00000000" w14:paraId="000000B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Name:</w:t>
            </w:r>
          </w:p>
        </w:tc>
        <w:tc>
          <w:tcPr/>
          <w:p w:rsidR="00000000" w:rsidDel="00000000" w:rsidP="00000000" w:rsidRDefault="00000000" w:rsidRPr="00000000" w14:paraId="000000B7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8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Name:</w:t>
            </w:r>
          </w:p>
        </w:tc>
        <w:tc>
          <w:tcPr/>
          <w:p w:rsidR="00000000" w:rsidDel="00000000" w:rsidP="00000000" w:rsidRDefault="00000000" w:rsidRPr="00000000" w14:paraId="000000B9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20" w:hRule="atLeast"/>
          <w:tblHeader w:val="0"/>
        </w:trPr>
        <w:tc>
          <w:tcPr/>
          <w:p w:rsidR="00000000" w:rsidDel="00000000" w:rsidP="00000000" w:rsidRDefault="00000000" w:rsidRPr="00000000" w14:paraId="000000B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Role:</w:t>
            </w:r>
          </w:p>
        </w:tc>
        <w:tc>
          <w:tcPr/>
          <w:p w:rsidR="00000000" w:rsidDel="00000000" w:rsidP="00000000" w:rsidRDefault="00000000" w:rsidRPr="00000000" w14:paraId="000000BB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C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Role:</w:t>
            </w:r>
          </w:p>
        </w:tc>
        <w:tc>
          <w:tcPr/>
          <w:p w:rsidR="00000000" w:rsidDel="00000000" w:rsidP="00000000" w:rsidRDefault="00000000" w:rsidRPr="00000000" w14:paraId="000000BD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51" w:hRule="atLeast"/>
          <w:tblHeader w:val="0"/>
        </w:trPr>
        <w:tc>
          <w:tcPr/>
          <w:p w:rsidR="00000000" w:rsidDel="00000000" w:rsidP="00000000" w:rsidRDefault="00000000" w:rsidRPr="00000000" w14:paraId="000000B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Date:</w:t>
            </w:r>
          </w:p>
        </w:tc>
        <w:tc>
          <w:tcPr/>
          <w:p w:rsidR="00000000" w:rsidDel="00000000" w:rsidP="00000000" w:rsidRDefault="00000000" w:rsidRPr="00000000" w14:paraId="000000BF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0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Date:</w:t>
            </w:r>
          </w:p>
        </w:tc>
        <w:tc>
          <w:tcPr/>
          <w:p w:rsidR="00000000" w:rsidDel="00000000" w:rsidP="00000000" w:rsidRDefault="00000000" w:rsidRPr="00000000" w14:paraId="000000C1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00" w:line="240" w:lineRule="auto"/>
              <w:ind w:left="142" w:hanging="142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bookmarkStart w:colFirst="0" w:colLast="0" w:name="bookmark=id.30j0zll" w:id="3"/>
    <w:bookmarkEnd w:id="3"/>
    <w:p w:rsidR="00000000" w:rsidDel="00000000" w:rsidP="00000000" w:rsidRDefault="00000000" w:rsidRPr="00000000" w14:paraId="000000C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1871" w:hanging="720"/>
        <w:rPr>
          <w:rFonts w:ascii="Arial" w:cs="Arial" w:eastAsia="Arial" w:hAnsi="Arial"/>
          <w:i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bookmarkStart w:colFirst="0" w:colLast="0" w:name="bookmark=id.3znysh7" w:id="4"/>
    <w:bookmarkEnd w:id="4"/>
    <w:p w:rsidR="00000000" w:rsidDel="00000000" w:rsidP="00000000" w:rsidRDefault="00000000" w:rsidRPr="00000000" w14:paraId="000000C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footerReference r:id="rId9" w:type="default"/>
      <w:footerReference r:id="rId10" w:type="first"/>
      <w:pgSz w:h="16838" w:w="11906" w:orient="portrait"/>
      <w:pgMar w:bottom="1276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Arial"/>
  <w:font w:name="Georgia"/>
  <w:font w:name="Courier New"/>
  <w:font w:name="Noto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>
    <w:embedRegular w:fontKey="{00000000-0000-0000-0000-000000000000}" r:id="rId5" w:subsetted="0"/>
    <w:embedBold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9">
    <w:pPr>
      <w:tabs>
        <w:tab w:val="center" w:leader="none" w:pos="4513"/>
        <w:tab w:val="right" w:leader="none" w:pos="9026"/>
      </w:tabs>
      <w:spacing w:after="0" w:lineRule="auto"/>
      <w:rPr>
        <w:color w:val="a6a6a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CA">
    <w:pPr>
      <w:tabs>
        <w:tab w:val="center" w:leader="none" w:pos="4513"/>
        <w:tab w:val="right" w:leader="none" w:pos="9026"/>
      </w:tabs>
      <w:spacing w:after="0" w:lineRule="auto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v.1.2</w:t>
      <w:tab/>
    </w:r>
    <w:r w:rsidDel="00000000" w:rsidR="00000000" w:rsidRPr="00000000">
      <w:rPr>
        <w:rFonts w:ascii="Arial" w:cs="Arial" w:eastAsia="Arial" w:hAnsi="Arial"/>
        <w:color w:val="000000"/>
        <w:sz w:val="20"/>
        <w:szCs w:val="20"/>
        <w:rtl w:val="0"/>
      </w:rPr>
      <w:tab/>
      <w:t xml:space="preserve"> </w:t>
    </w:r>
    <w:r w:rsidDel="00000000" w:rsidR="00000000" w:rsidRPr="00000000">
      <w:rPr>
        <w:rFonts w:ascii="Arial" w:cs="Arial" w:eastAsia="Arial" w:hAnsi="Arial"/>
        <w:color w:val="000000"/>
        <w:sz w:val="20"/>
        <w:szCs w:val="2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CB">
    <w:pPr>
      <w:spacing w:after="0" w:line="240" w:lineRule="auto"/>
      <w:jc w:val="both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C">
    <w:pPr>
      <w:tabs>
        <w:tab w:val="center" w:leader="none" w:pos="4513"/>
        <w:tab w:val="right" w:leader="none" w:pos="9026"/>
      </w:tabs>
      <w:spacing w:after="0" w:lineRule="auto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CD">
    <w:pPr>
      <w:spacing w:after="0" w:line="240" w:lineRule="auto"/>
      <w:jc w:val="both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a6a6a6"/>
        <w:sz w:val="20"/>
        <w:szCs w:val="20"/>
        <w:rtl w:val="0"/>
      </w:rPr>
      <w:tab/>
      <w:tab/>
      <w:tab/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13"/>
        <w:tab w:val="right" w:leader="none" w:pos="9026"/>
      </w:tabs>
      <w:spacing w:after="0" w:line="240" w:lineRule="auto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000000"/>
        <w:sz w:val="20"/>
        <w:szCs w:val="20"/>
        <w:rtl w:val="0"/>
      </w:rPr>
      <w:t xml:space="preserve">Award Form, Crown Copyright 2023, RM6385 Energy Trading and Risk Management (ETRM) System</w:t>
    </w:r>
  </w:p>
  <w:p w:rsidR="00000000" w:rsidDel="00000000" w:rsidP="00000000" w:rsidRDefault="00000000" w:rsidRPr="00000000" w14:paraId="000000C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13"/>
        <w:tab w:val="right" w:leader="none" w:pos="9026"/>
      </w:tabs>
      <w:spacing w:after="0" w:line="240" w:lineRule="auto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C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13"/>
        <w:tab w:val="right" w:leader="none" w:pos="9026"/>
      </w:tabs>
      <w:spacing w:after="0" w:line="240" w:lineRule="auto"/>
      <w:rPr>
        <w:rFonts w:ascii="Arial" w:cs="Arial" w:eastAsia="Arial" w:hAnsi="Arial"/>
        <w:b w:val="1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b w:val="1"/>
        <w:color w:val="a6a6a6"/>
        <w:sz w:val="20"/>
        <w:szCs w:val="20"/>
        <w:rtl w:val="0"/>
      </w:rPr>
      <w:t xml:space="preserve">Award Form</w:t>
    </w:r>
  </w:p>
  <w:p w:rsidR="00000000" w:rsidDel="00000000" w:rsidP="00000000" w:rsidRDefault="00000000" w:rsidRPr="00000000" w14:paraId="000000C7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13"/>
        <w:tab w:val="right" w:leader="none" w:pos="9026"/>
      </w:tabs>
      <w:spacing w:after="0" w:line="240" w:lineRule="auto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a6a6a6"/>
        <w:sz w:val="20"/>
        <w:szCs w:val="20"/>
        <w:rtl w:val="0"/>
      </w:rPr>
      <w:t xml:space="preserve">Crown Copyright 2018</w:t>
    </w:r>
  </w:p>
  <w:p w:rsidR="00000000" w:rsidDel="00000000" w:rsidP="00000000" w:rsidRDefault="00000000" w:rsidRPr="00000000" w14:paraId="000000C8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13"/>
        <w:tab w:val="right" w:leader="none" w:pos="9026"/>
      </w:tabs>
      <w:spacing w:after="0" w:line="240" w:lineRule="auto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lowerLetter"/>
      <w:lvlText w:val="(%1)"/>
      <w:lvlJc w:val="left"/>
      <w:pPr>
        <w:ind w:left="1440" w:hanging="360"/>
      </w:pPr>
      <w:rPr/>
    </w:lvl>
    <w:lvl w:ilvl="1">
      <w:start w:val="1"/>
      <w:numFmt w:val="lowerLetter"/>
      <w:lvlText w:val="%2."/>
      <w:lvlJc w:val="left"/>
      <w:pPr>
        <w:ind w:left="2160" w:hanging="360"/>
      </w:pPr>
      <w:rPr/>
    </w:lvl>
    <w:lvl w:ilvl="2">
      <w:start w:val="1"/>
      <w:numFmt w:val="lowerRoman"/>
      <w:lvlText w:val="%3."/>
      <w:lvlJc w:val="right"/>
      <w:pPr>
        <w:ind w:left="2880" w:hanging="180"/>
      </w:pPr>
      <w:rPr/>
    </w:lvl>
    <w:lvl w:ilvl="3">
      <w:start w:val="1"/>
      <w:numFmt w:val="decimal"/>
      <w:lvlText w:val="%4."/>
      <w:lvlJc w:val="left"/>
      <w:pPr>
        <w:ind w:left="3600" w:hanging="360"/>
      </w:pPr>
      <w:rPr/>
    </w:lvl>
    <w:lvl w:ilvl="4">
      <w:start w:val="1"/>
      <w:numFmt w:val="lowerLetter"/>
      <w:lvlText w:val="%5."/>
      <w:lvlJc w:val="left"/>
      <w:pPr>
        <w:ind w:left="4320" w:hanging="360"/>
      </w:pPr>
      <w:rPr/>
    </w:lvl>
    <w:lvl w:ilvl="5">
      <w:start w:val="1"/>
      <w:numFmt w:val="lowerRoman"/>
      <w:lvlText w:val="%6."/>
      <w:lvlJc w:val="right"/>
      <w:pPr>
        <w:ind w:left="5040" w:hanging="180"/>
      </w:pPr>
      <w:rPr/>
    </w:lvl>
    <w:lvl w:ilvl="6">
      <w:start w:val="1"/>
      <w:numFmt w:val="decimal"/>
      <w:lvlText w:val="%7."/>
      <w:lvlJc w:val="left"/>
      <w:pPr>
        <w:ind w:left="5760" w:hanging="360"/>
      </w:pPr>
      <w:rPr/>
    </w:lvl>
    <w:lvl w:ilvl="7">
      <w:start w:val="1"/>
      <w:numFmt w:val="lowerLetter"/>
      <w:lvlText w:val="%8."/>
      <w:lvlJc w:val="left"/>
      <w:pPr>
        <w:ind w:left="6480" w:hanging="360"/>
      </w:pPr>
      <w:rPr/>
    </w:lvl>
    <w:lvl w:ilvl="8">
      <w:start w:val="1"/>
      <w:numFmt w:val="lowerRoman"/>
      <w:lvlText w:val="%9."/>
      <w:lvlJc w:val="right"/>
      <w:pPr>
        <w:ind w:left="7200" w:hanging="18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644" w:hanging="357.9999999999999"/>
      </w:pPr>
      <w:rPr>
        <w:b w:val="1"/>
      </w:rPr>
    </w:lvl>
    <w:lvl w:ilvl="1">
      <w:start w:val="1"/>
      <w:numFmt w:val="lowerLetter"/>
      <w:lvlText w:val="%2."/>
      <w:lvlJc w:val="left"/>
      <w:pPr>
        <w:ind w:left="1364" w:hanging="360"/>
      </w:pPr>
      <w:rPr/>
    </w:lvl>
    <w:lvl w:ilvl="2">
      <w:start w:val="1"/>
      <w:numFmt w:val="lowerRoman"/>
      <w:lvlText w:val="%3."/>
      <w:lvlJc w:val="right"/>
      <w:pPr>
        <w:ind w:left="2084" w:hanging="180"/>
      </w:pPr>
      <w:rPr/>
    </w:lvl>
    <w:lvl w:ilvl="3">
      <w:start w:val="1"/>
      <w:numFmt w:val="decimal"/>
      <w:lvlText w:val="%4."/>
      <w:lvlJc w:val="left"/>
      <w:pPr>
        <w:ind w:left="2804" w:hanging="360"/>
      </w:pPr>
      <w:rPr/>
    </w:lvl>
    <w:lvl w:ilvl="4">
      <w:start w:val="1"/>
      <w:numFmt w:val="lowerLetter"/>
      <w:lvlText w:val="%5."/>
      <w:lvlJc w:val="left"/>
      <w:pPr>
        <w:ind w:left="3524" w:hanging="360"/>
      </w:pPr>
      <w:rPr/>
    </w:lvl>
    <w:lvl w:ilvl="5">
      <w:start w:val="1"/>
      <w:numFmt w:val="lowerRoman"/>
      <w:lvlText w:val="%6."/>
      <w:lvlJc w:val="right"/>
      <w:pPr>
        <w:ind w:left="4244" w:hanging="180"/>
      </w:pPr>
      <w:rPr/>
    </w:lvl>
    <w:lvl w:ilvl="6">
      <w:start w:val="1"/>
      <w:numFmt w:val="decimal"/>
      <w:lvlText w:val="%7."/>
      <w:lvlJc w:val="left"/>
      <w:pPr>
        <w:ind w:left="4964" w:hanging="360"/>
      </w:pPr>
      <w:rPr/>
    </w:lvl>
    <w:lvl w:ilvl="7">
      <w:start w:val="1"/>
      <w:numFmt w:val="lowerLetter"/>
      <w:lvlText w:val="%8."/>
      <w:lvlJc w:val="left"/>
      <w:pPr>
        <w:ind w:left="5684" w:hanging="360"/>
      </w:pPr>
      <w:rPr/>
    </w:lvl>
    <w:lvl w:ilvl="8">
      <w:start w:val="1"/>
      <w:numFmt w:val="lowerRoman"/>
      <w:lvlText w:val="%9."/>
      <w:lvlJc w:val="right"/>
      <w:pPr>
        <w:ind w:left="6404" w:hanging="180"/>
      </w:pPr>
      <w:rPr/>
    </w:lvl>
  </w:abstractNum>
  <w:abstractNum w:abstractNumId="4">
    <w:lvl w:ilvl="0">
      <w:start w:val="1"/>
      <w:numFmt w:val="bullet"/>
      <w:lvlText w:val="●"/>
      <w:lvlJc w:val="left"/>
      <w:pPr>
        <w:ind w:left="74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794" w:hanging="359.99999999999994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514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234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2954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674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4394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114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5834" w:hanging="360"/>
      </w:pPr>
      <w:rPr>
        <w:rFonts w:ascii="Noto Sans" w:cs="Noto Sans" w:eastAsia="Noto Sans" w:hAnsi="Noto Sans"/>
      </w:rPr>
    </w:lvl>
  </w:abstractNum>
  <w:abstractNum w:abstractNumId="5">
    <w:lvl w:ilvl="0">
      <w:start w:val="1"/>
      <w:numFmt w:val="lowerLetter"/>
      <w:lvlText w:val="(%1)"/>
      <w:lvlJc w:val="left"/>
      <w:pPr>
        <w:ind w:left="1440" w:hanging="360"/>
      </w:pPr>
      <w:rPr/>
    </w:lvl>
    <w:lvl w:ilvl="1">
      <w:start w:val="1"/>
      <w:numFmt w:val="lowerRoman"/>
      <w:lvlText w:val="(%2)"/>
      <w:lvlJc w:val="left"/>
      <w:pPr>
        <w:ind w:left="2268" w:hanging="468"/>
      </w:pPr>
      <w:rPr/>
    </w:lvl>
    <w:lvl w:ilvl="2">
      <w:start w:val="1"/>
      <w:numFmt w:val="lowerRoman"/>
      <w:lvlText w:val="%3."/>
      <w:lvlJc w:val="right"/>
      <w:pPr>
        <w:ind w:left="2880" w:hanging="180"/>
      </w:pPr>
      <w:rPr/>
    </w:lvl>
    <w:lvl w:ilvl="3">
      <w:start w:val="1"/>
      <w:numFmt w:val="decimal"/>
      <w:lvlText w:val="%4."/>
      <w:lvlJc w:val="left"/>
      <w:pPr>
        <w:ind w:left="3600" w:hanging="360"/>
      </w:pPr>
      <w:rPr/>
    </w:lvl>
    <w:lvl w:ilvl="4">
      <w:start w:val="1"/>
      <w:numFmt w:val="lowerLetter"/>
      <w:lvlText w:val="%5."/>
      <w:lvlJc w:val="left"/>
      <w:pPr>
        <w:ind w:left="4320" w:hanging="360"/>
      </w:pPr>
      <w:rPr/>
    </w:lvl>
    <w:lvl w:ilvl="5">
      <w:start w:val="1"/>
      <w:numFmt w:val="lowerRoman"/>
      <w:lvlText w:val="%6."/>
      <w:lvlJc w:val="right"/>
      <w:pPr>
        <w:ind w:left="5040" w:hanging="180"/>
      </w:pPr>
      <w:rPr/>
    </w:lvl>
    <w:lvl w:ilvl="6">
      <w:start w:val="1"/>
      <w:numFmt w:val="decimal"/>
      <w:lvlText w:val="%7."/>
      <w:lvlJc w:val="left"/>
      <w:pPr>
        <w:ind w:left="5760" w:hanging="360"/>
      </w:pPr>
      <w:rPr/>
    </w:lvl>
    <w:lvl w:ilvl="7">
      <w:start w:val="1"/>
      <w:numFmt w:val="lowerLetter"/>
      <w:lvlText w:val="%8."/>
      <w:lvlJc w:val="left"/>
      <w:pPr>
        <w:ind w:left="6480" w:hanging="360"/>
      </w:pPr>
      <w:rPr/>
    </w:lvl>
    <w:lvl w:ilvl="8">
      <w:start w:val="1"/>
      <w:numFmt w:val="lowerRoman"/>
      <w:lvlText w:val="%9."/>
      <w:lvlJc w:val="right"/>
      <w:pPr>
        <w:ind w:left="720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-GB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tabs>
        <w:tab w:val="left" w:leader="none" w:pos="-5585"/>
      </w:tabs>
      <w:spacing w:after="120" w:line="240" w:lineRule="auto"/>
      <w:ind w:left="3600" w:hanging="360"/>
      <w:jc w:val="both"/>
    </w:pPr>
    <w:rPr>
      <w:rFonts w:ascii="Arial" w:cs="Arial" w:eastAsia="Arial" w:hAnsi="Arial"/>
    </w:rPr>
  </w:style>
  <w:style w:type="paragraph" w:styleId="Heading6">
    <w:name w:val="heading 6"/>
    <w:basedOn w:val="Normal"/>
    <w:next w:val="Normal"/>
    <w:pPr>
      <w:tabs>
        <w:tab w:val="left" w:leader="none" w:pos="-8987"/>
        <w:tab w:val="left" w:leader="none" w:pos="-8420"/>
      </w:tabs>
      <w:spacing w:after="120" w:line="240" w:lineRule="auto"/>
      <w:ind w:left="3600" w:hanging="360"/>
      <w:jc w:val="both"/>
    </w:pPr>
    <w:rPr>
      <w:rFonts w:ascii="Arial" w:cs="Arial" w:eastAsia="Arial" w:hAnsi="Arial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287118"/>
    <w:pPr>
      <w:suppressAutoHyphens w:val="1"/>
    </w:pPr>
  </w:style>
  <w:style w:type="paragraph" w:styleId="Heading1">
    <w:name w:val="heading 1"/>
    <w:aliases w:val="h1,A MAJOR/BOLD,Schedheading,Heading 1(Report Only),h1 chapter heading,Section Heading,H1,Attribute Heading 1,Roman 14 B Heading,Roman 14 B Heading1,Roman 14 B Heading2,Roman 14 B Heading11,new page/chapter,1st level,(Alt+1),Part,2,1,o,sectio"/>
    <w:basedOn w:val="Normal"/>
    <w:next w:val="Normal"/>
    <w:uiPriority w:val="9"/>
    <w:qFormat w:val="1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Heading2">
    <w:name w:val="heading 2"/>
    <w:aliases w:val="Major,PARA2,KJL:1st Level,Heading Two,h2,(1.1,1.2,1.3 etc),Prophead 2,RFP Heading 2,Activity,l2,H2,h 3,Numbered - 2,Reset numbering,S Heading,S Heading 2,Project 2,RFS 2,Heading 2 Number,Heading 2a,T2,PARA21,PARA22,PARA23,T21,PARA24,T22,TSBTW"/>
    <w:basedOn w:val="Normal"/>
    <w:next w:val="Normal"/>
    <w:uiPriority w:val="9"/>
    <w:unhideWhenUsed w:val="1"/>
    <w:qFormat w:val="1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Heading3">
    <w:name w:val="heading 3"/>
    <w:aliases w:val="H3,Prophead 3,h3,HHHeading,Heading 31,Heading 32,Heading 33,Heading 34,Heading 35,Heading 36,H31,H32,H33,H34,H35,H36,3,Numbered - 3,HeadC,Level 1 - 1,Minor1,Para Heading 3,Para Heading 31,h31,Minor,H311,(Alt+3),h32,h311,h33,h312,h34,h313,h35,L"/>
    <w:basedOn w:val="Normal"/>
    <w:next w:val="Normal"/>
    <w:link w:val="Heading3Char"/>
    <w:uiPriority w:val="9"/>
    <w:unhideWhenUsed w:val="1"/>
    <w:qFormat w:val="1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uiPriority w:val="9"/>
    <w:unhideWhenUsed w:val="1"/>
    <w:qFormat w:val="1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Heading5">
    <w:name w:val="heading 5"/>
    <w:aliases w:val="Heading,Heading 5(unused),Level 3 - (i),Third Level Heading,h5,Response Type,Response Type1,Response Type2,Response Type3,Response Type4,Response Type5,Response Type6,Response Type7,Appendix A to X,Heading 5   Appendix A to X,H5,l5,Subheading"/>
    <w:basedOn w:val="Normal"/>
    <w:uiPriority w:val="9"/>
    <w:semiHidden w:val="1"/>
    <w:unhideWhenUsed w:val="1"/>
    <w:qFormat w:val="1"/>
    <w:pPr>
      <w:numPr>
        <w:ilvl w:val="4"/>
        <w:numId w:val="1"/>
      </w:numPr>
      <w:tabs>
        <w:tab w:val="left" w:pos="-5585"/>
      </w:tabs>
      <w:suppressAutoHyphens w:val="0"/>
      <w:overflowPunct w:val="0"/>
      <w:autoSpaceDE w:val="0"/>
      <w:spacing w:after="120" w:line="240" w:lineRule="auto"/>
      <w:jc w:val="both"/>
      <w:outlineLvl w:val="4"/>
    </w:pPr>
    <w:rPr>
      <w:rFonts w:ascii="Arial" w:eastAsia="Times New Roman" w:hAnsi="Arial"/>
    </w:rPr>
  </w:style>
  <w:style w:type="paragraph" w:styleId="Heading6">
    <w:name w:val="heading 6"/>
    <w:aliases w:val="Heading 6(unused),Legal Level 1.,L1 PIP,Heading 6  Appendix Y &amp; Z,Lev 6,H6 DO NOT USE,Bullet list,PA Appendix,H6,H61,PR14,bullet2,Blank 2,Appendix,h6,H62,H63,H64,H65,H66,H67,H68,H69,H610,H611,H612,H613,H614,H615,H616,H617,H618,H619,H621,H631"/>
    <w:basedOn w:val="Heading5"/>
    <w:uiPriority w:val="9"/>
    <w:semiHidden w:val="1"/>
    <w:unhideWhenUsed w:val="1"/>
    <w:qFormat w:val="1"/>
    <w:pPr>
      <w:numPr>
        <w:ilvl w:val="5"/>
      </w:numPr>
      <w:tabs>
        <w:tab w:val="clear" w:pos="-5585"/>
        <w:tab w:val="left" w:pos="-8987"/>
        <w:tab w:val="left" w:pos="-8420"/>
      </w:tabs>
      <w:outlineLvl w:val="5"/>
    </w:pPr>
  </w:style>
  <w:style w:type="paragraph" w:styleId="Heading7">
    <w:name w:val="heading 7"/>
    <w:basedOn w:val="Heading6"/>
    <w:pPr>
      <w:numPr>
        <w:ilvl w:val="6"/>
      </w:numPr>
      <w:tabs>
        <w:tab w:val="clear" w:pos="-8987"/>
        <w:tab w:val="clear" w:pos="-8420"/>
        <w:tab w:val="left" w:pos="-10688"/>
        <w:tab w:val="left" w:pos="-9554"/>
      </w:tabs>
      <w:outlineLvl w:val="6"/>
    </w:pPr>
  </w:style>
  <w:style w:type="paragraph" w:styleId="Heading8">
    <w:name w:val="heading 8"/>
    <w:basedOn w:val="Heading7"/>
    <w:pPr>
      <w:numPr>
        <w:ilvl w:val="7"/>
      </w:numPr>
      <w:tabs>
        <w:tab w:val="clear" w:pos="-9554"/>
        <w:tab w:val="left" w:pos="-12360"/>
        <w:tab w:val="left" w:pos="-9383"/>
      </w:tabs>
      <w:outlineLvl w:val="7"/>
    </w:p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Title">
    <w:name w:val="Title"/>
    <w:basedOn w:val="Normal"/>
    <w:next w:val="Normal"/>
    <w:uiPriority w:val="10"/>
    <w:qFormat w:val="1"/>
    <w:pPr>
      <w:keepNext w:val="1"/>
      <w:keepLines w:val="1"/>
      <w:spacing w:after="120" w:before="480"/>
    </w:pPr>
    <w:rPr>
      <w:b w:val="1"/>
      <w:sz w:val="72"/>
      <w:szCs w:val="72"/>
    </w:rPr>
  </w:style>
  <w:style w:type="numbering" w:styleId="WWOutlineListStyle8" w:customStyle="1">
    <w:name w:val="WW_OutlineListStyle_8"/>
    <w:basedOn w:val="NoList"/>
  </w:style>
  <w:style w:type="paragraph" w:styleId="Level1Heading" w:customStyle="1">
    <w:name w:val="Level 1 Heading"/>
    <w:basedOn w:val="BodyText"/>
    <w:next w:val="Normal"/>
    <w:pPr>
      <w:keepNext w:val="1"/>
      <w:tabs>
        <w:tab w:val="left" w:pos="-1342"/>
      </w:tabs>
      <w:suppressAutoHyphens w:val="0"/>
      <w:spacing w:after="200" w:before="360" w:line="360" w:lineRule="auto"/>
      <w:outlineLvl w:val="0"/>
    </w:pPr>
    <w:rPr>
      <w:rFonts w:ascii="Arial" w:eastAsia="Times New Roman" w:hAnsi="Arial"/>
      <w:b w:val="1"/>
      <w:szCs w:val="20"/>
    </w:rPr>
  </w:style>
  <w:style w:type="paragraph" w:styleId="GPSL1CLAUSEHEADING" w:customStyle="1">
    <w:name w:val="GPS L1 CLAUSE HEADING"/>
    <w:basedOn w:val="Normal"/>
    <w:next w:val="Normal"/>
    <w:qFormat w:val="1"/>
    <w:pPr>
      <w:tabs>
        <w:tab w:val="left" w:pos="-3864"/>
      </w:tabs>
      <w:suppressAutoHyphens w:val="0"/>
      <w:spacing w:after="240" w:before="240" w:line="240" w:lineRule="auto"/>
      <w:jc w:val="both"/>
      <w:outlineLvl w:val="1"/>
    </w:pPr>
    <w:rPr>
      <w:rFonts w:ascii="Arial Bold" w:cs="Arial" w:eastAsia="STZhongsong" w:hAnsi="Arial Bold"/>
      <w:b w:val="1"/>
      <w:caps w:val="1"/>
      <w:lang w:eastAsia="zh-CN"/>
    </w:rPr>
  </w:style>
  <w:style w:type="character" w:styleId="Heading5Char" w:customStyle="1">
    <w:name w:val="Heading 5 Char"/>
    <w:basedOn w:val="DefaultParagraphFont"/>
    <w:rPr>
      <w:rFonts w:ascii="Arial" w:eastAsia="Times New Roman" w:hAnsi="Arial"/>
      <w:sz w:val="22"/>
      <w:szCs w:val="22"/>
      <w:lang w:eastAsia="en-US"/>
    </w:rPr>
  </w:style>
  <w:style w:type="character" w:styleId="Heading6Char" w:customStyle="1">
    <w:name w:val="Heading 6 Char"/>
    <w:basedOn w:val="DefaultParagraphFont"/>
    <w:rPr>
      <w:rFonts w:ascii="Arial" w:eastAsia="Times New Roman" w:hAnsi="Arial"/>
      <w:sz w:val="22"/>
      <w:szCs w:val="22"/>
      <w:lang w:eastAsia="en-US"/>
    </w:rPr>
  </w:style>
  <w:style w:type="paragraph" w:styleId="GPSL2NumberedBoldHeading" w:customStyle="1">
    <w:name w:val="GPS L2 Numbered Bold Heading"/>
    <w:basedOn w:val="Normal"/>
    <w:qFormat w:val="1"/>
    <w:pPr>
      <w:tabs>
        <w:tab w:val="left" w:pos="1134"/>
      </w:tabs>
      <w:suppressAutoHyphens w:val="0"/>
      <w:spacing w:after="120" w:before="120" w:line="240" w:lineRule="auto"/>
      <w:ind w:left="1494" w:hanging="218"/>
      <w:jc w:val="both"/>
    </w:pPr>
    <w:rPr>
      <w:rFonts w:cs="Arial" w:eastAsia="Times New Roman"/>
      <w:b w:val="1"/>
      <w:lang w:eastAsia="zh-CN"/>
    </w:rPr>
  </w:style>
  <w:style w:type="paragraph" w:styleId="BodyText1" w:customStyle="1">
    <w:name w:val="Body Text 1"/>
    <w:basedOn w:val="BodyText"/>
    <w:pPr>
      <w:suppressAutoHyphens w:val="0"/>
      <w:spacing w:after="240" w:line="360" w:lineRule="auto"/>
      <w:ind w:left="851"/>
    </w:pPr>
    <w:rPr>
      <w:rFonts w:ascii="Arial" w:eastAsia="Times New Roman" w:hAnsi="Arial"/>
      <w:sz w:val="20"/>
      <w:szCs w:val="20"/>
    </w:rPr>
  </w:style>
  <w:style w:type="paragraph" w:styleId="ListParagraph">
    <w:name w:val="List Paragraph"/>
    <w:basedOn w:val="Normal"/>
    <w:uiPriority w:val="34"/>
    <w:qFormat w:val="1"/>
    <w:pPr>
      <w:ind w:left="720"/>
    </w:pPr>
  </w:style>
  <w:style w:type="character" w:styleId="Emphasis">
    <w:name w:val="Emphasis"/>
    <w:basedOn w:val="DefaultParagraphFont"/>
    <w:rPr>
      <w:i w:val="1"/>
      <w:iCs w:val="1"/>
    </w:rPr>
  </w:style>
  <w:style w:type="paragraph" w:styleId="11table" w:customStyle="1">
    <w:name w:val="1.1 table"/>
    <w:basedOn w:val="Normal"/>
    <w:qFormat w:val="1"/>
    <w:pPr>
      <w:numPr>
        <w:numId w:val="6"/>
      </w:numPr>
      <w:suppressAutoHyphens w:val="0"/>
      <w:spacing w:after="0" w:line="240" w:lineRule="auto"/>
    </w:pPr>
    <w:rPr>
      <w:rFonts w:eastAsia="STZhongsong"/>
      <w:b w:val="1"/>
      <w:lang w:eastAsia="zh-CN"/>
    </w:rPr>
  </w:style>
  <w:style w:type="character" w:styleId="11tableChar" w:customStyle="1">
    <w:name w:val="1.1 table Char"/>
    <w:rPr>
      <w:rFonts w:eastAsia="STZhongsong"/>
      <w:b w:val="1"/>
      <w:sz w:val="22"/>
      <w:szCs w:val="22"/>
      <w:lang w:eastAsia="zh-CN"/>
    </w:rPr>
  </w:style>
  <w:style w:type="paragraph" w:styleId="BalloonText">
    <w:name w:val="Balloon Text"/>
    <w:basedOn w:val="Normal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rPr>
      <w:rFonts w:ascii="Tahoma" w:cs="Tahoma" w:hAnsi="Tahoma"/>
      <w:sz w:val="16"/>
      <w:szCs w:val="16"/>
      <w:lang w:eastAsia="en-US"/>
    </w:rPr>
  </w:style>
  <w:style w:type="paragraph" w:styleId="Header">
    <w:name w:val="header"/>
    <w:basedOn w:val="Normal"/>
    <w:uiPriority w:val="99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uiPriority w:val="99"/>
    <w:rPr>
      <w:sz w:val="22"/>
      <w:szCs w:val="22"/>
      <w:lang w:eastAsia="en-US"/>
    </w:rPr>
  </w:style>
  <w:style w:type="paragraph" w:styleId="Footer">
    <w:name w:val="footer"/>
    <w:basedOn w:val="Normal"/>
    <w:uiPriority w:val="99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uiPriority w:val="99"/>
    <w:rPr>
      <w:sz w:val="22"/>
      <w:szCs w:val="22"/>
      <w:lang w:eastAsia="en-US"/>
    </w:rPr>
  </w:style>
  <w:style w:type="paragraph" w:styleId="MarginText" w:customStyle="1">
    <w:name w:val="Margin Text"/>
    <w:basedOn w:val="Normal"/>
    <w:pPr>
      <w:keepNext w:val="1"/>
      <w:suppressAutoHyphens w:val="0"/>
      <w:spacing w:after="120" w:before="240" w:line="240" w:lineRule="auto"/>
      <w:ind w:left="142"/>
      <w:jc w:val="both"/>
    </w:pPr>
    <w:rPr>
      <w:rFonts w:ascii="Arial" w:eastAsia="STZhongsong" w:hAnsi="Arial"/>
      <w:sz w:val="18"/>
      <w:szCs w:val="18"/>
      <w:lang w:eastAsia="zh-CN"/>
    </w:rPr>
  </w:style>
  <w:style w:type="character" w:styleId="MarginTextChar" w:customStyle="1">
    <w:name w:val="Margin Text Char"/>
    <w:rPr>
      <w:rFonts w:ascii="Arial" w:eastAsia="STZhongsong" w:hAnsi="Arial"/>
      <w:sz w:val="18"/>
      <w:szCs w:val="18"/>
      <w:lang w:eastAsia="zh-CN"/>
    </w:rPr>
  </w:style>
  <w:style w:type="paragraph" w:styleId="GPSL2numberedclause" w:customStyle="1">
    <w:name w:val="GPS L2 numbered clause"/>
    <w:basedOn w:val="Normal"/>
    <w:qFormat w:val="1"/>
    <w:pPr>
      <w:tabs>
        <w:tab w:val="left" w:pos="1134"/>
      </w:tabs>
      <w:suppressAutoHyphens w:val="0"/>
      <w:spacing w:after="120" w:before="120" w:line="240" w:lineRule="auto"/>
      <w:ind w:left="1134" w:hanging="567"/>
      <w:jc w:val="both"/>
    </w:pPr>
    <w:rPr>
      <w:rFonts w:cs="Arial" w:eastAsia="Times New Roman"/>
      <w:lang w:eastAsia="zh-CN"/>
    </w:rPr>
  </w:style>
  <w:style w:type="paragraph" w:styleId="GPSL3numberedclause" w:customStyle="1">
    <w:name w:val="GPS L3 numbered clause"/>
    <w:basedOn w:val="GPSL2numberedclause"/>
    <w:qFormat w:val="1"/>
    <w:pPr>
      <w:tabs>
        <w:tab w:val="clear" w:pos="1134"/>
        <w:tab w:val="left" w:pos="1985"/>
        <w:tab w:val="left" w:pos="2127"/>
      </w:tabs>
      <w:ind w:left="1985" w:hanging="851"/>
    </w:pPr>
  </w:style>
  <w:style w:type="paragraph" w:styleId="GPSL4numberedclause" w:customStyle="1">
    <w:name w:val="GPS L4 numbered clause"/>
    <w:basedOn w:val="GPSL3numberedclause"/>
    <w:qFormat w:val="1"/>
    <w:pPr>
      <w:tabs>
        <w:tab w:val="clear" w:pos="2127"/>
      </w:tabs>
      <w:ind w:left="2835" w:hanging="708"/>
    </w:pPr>
    <w:rPr>
      <w:szCs w:val="20"/>
    </w:rPr>
  </w:style>
  <w:style w:type="character" w:styleId="GPSL2numberedclauseChar1" w:customStyle="1">
    <w:name w:val="GPS L2 numbered clause Char1"/>
    <w:rPr>
      <w:rFonts w:cs="Arial" w:eastAsia="Times New Roman"/>
      <w:sz w:val="22"/>
      <w:szCs w:val="22"/>
      <w:lang w:eastAsia="zh-CN"/>
    </w:rPr>
  </w:style>
  <w:style w:type="character" w:styleId="GPSL3numberedclauseChar" w:customStyle="1">
    <w:name w:val="GPS L3 numbered clause Char"/>
    <w:rPr>
      <w:rFonts w:cs="Arial" w:eastAsia="Times New Roman"/>
      <w:sz w:val="22"/>
      <w:szCs w:val="22"/>
      <w:lang w:eastAsia="zh-CN"/>
    </w:rPr>
  </w:style>
  <w:style w:type="paragraph" w:styleId="GPSL5numberedclause" w:customStyle="1">
    <w:name w:val="GPS L5 numbered clause"/>
    <w:basedOn w:val="GPSL4numberedclause"/>
    <w:qFormat w:val="1"/>
    <w:pPr>
      <w:tabs>
        <w:tab w:val="left" w:pos="3402"/>
      </w:tabs>
      <w:ind w:left="3402" w:hanging="567"/>
    </w:pPr>
  </w:style>
  <w:style w:type="paragraph" w:styleId="GPSL6numbered" w:customStyle="1">
    <w:name w:val="GPS L6 numbered"/>
    <w:basedOn w:val="GPSL5numberedclause"/>
    <w:qFormat w:val="1"/>
    <w:pPr>
      <w:tabs>
        <w:tab w:val="clear" w:pos="1985"/>
        <w:tab w:val="clear" w:pos="3402"/>
        <w:tab w:val="num" w:pos="720"/>
        <w:tab w:val="left" w:pos="24049"/>
        <w:tab w:val="left" w:pos="25466"/>
        <w:tab w:val="left" w:pos="26317"/>
      </w:tabs>
      <w:ind w:left="720" w:hanging="720"/>
    </w:pPr>
  </w:style>
  <w:style w:type="paragraph" w:styleId="Style1" w:customStyle="1">
    <w:name w:val="Style1"/>
    <w:basedOn w:val="ListParagraph"/>
    <w:pPr>
      <w:tabs>
        <w:tab w:val="num" w:pos="720"/>
      </w:tabs>
      <w:ind w:hanging="720"/>
    </w:pPr>
    <w:rPr>
      <w:b w:val="1"/>
      <w:sz w:val="20"/>
    </w:rPr>
  </w:style>
  <w:style w:type="character" w:styleId="ListParagraphChar" w:customStyle="1">
    <w:name w:val="List Paragraph Char"/>
    <w:basedOn w:val="DefaultParagraphFont"/>
    <w:rPr>
      <w:sz w:val="22"/>
      <w:szCs w:val="22"/>
      <w:lang w:eastAsia="en-US"/>
    </w:rPr>
  </w:style>
  <w:style w:type="character" w:styleId="Style1Char" w:customStyle="1">
    <w:name w:val="Style1 Char"/>
    <w:basedOn w:val="ListParagraphChar"/>
    <w:rPr>
      <w:b w:val="1"/>
      <w:sz w:val="22"/>
      <w:szCs w:val="22"/>
      <w:lang w:eastAsia="en-US"/>
    </w:rPr>
  </w:style>
  <w:style w:type="character" w:styleId="CommentReference">
    <w:name w:val="annotation reference"/>
    <w:basedOn w:val="DefaultParagraphFont"/>
    <w:rPr>
      <w:sz w:val="16"/>
      <w:szCs w:val="16"/>
    </w:rPr>
  </w:style>
  <w:style w:type="paragraph" w:styleId="CommentText">
    <w:name w:val="annotation text"/>
    <w:basedOn w:val="Normal"/>
    <w:uiPriority w:val="99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rPr>
      <w:lang w:eastAsia="en-US"/>
    </w:rPr>
  </w:style>
  <w:style w:type="paragraph" w:styleId="CommentSubject">
    <w:name w:val="annotation subject"/>
    <w:basedOn w:val="CommentText"/>
    <w:next w:val="CommentText"/>
    <w:rPr>
      <w:b w:val="1"/>
      <w:bCs w:val="1"/>
    </w:rPr>
  </w:style>
  <w:style w:type="character" w:styleId="CommentSubjectChar" w:customStyle="1">
    <w:name w:val="Comment Subject Char"/>
    <w:basedOn w:val="CommentTextChar"/>
    <w:rPr>
      <w:b w:val="1"/>
      <w:bCs w:val="1"/>
      <w:lang w:eastAsia="en-US"/>
    </w:rPr>
  </w:style>
  <w:style w:type="paragraph" w:styleId="Revision">
    <w:name w:val="Revision"/>
  </w:style>
  <w:style w:type="paragraph" w:styleId="GPsDefinition" w:customStyle="1">
    <w:name w:val="GPs Definition"/>
    <w:basedOn w:val="Normal"/>
    <w:pPr>
      <w:tabs>
        <w:tab w:val="left" w:pos="-179"/>
      </w:tabs>
      <w:suppressAutoHyphens w:val="0"/>
      <w:overflowPunct w:val="0"/>
      <w:autoSpaceDE w:val="0"/>
      <w:spacing w:after="120" w:line="240" w:lineRule="auto"/>
      <w:jc w:val="both"/>
    </w:pPr>
    <w:rPr>
      <w:rFonts w:ascii="Arial" w:cs="Arial" w:eastAsia="Times New Roman" w:hAnsi="Arial"/>
    </w:rPr>
  </w:style>
  <w:style w:type="paragraph" w:styleId="GPSDefinitionL2" w:customStyle="1">
    <w:name w:val="GPS Definition L2"/>
    <w:basedOn w:val="GPsDefinition"/>
    <w:pPr>
      <w:tabs>
        <w:tab w:val="clear" w:pos="-179"/>
        <w:tab w:val="left" w:pos="-576"/>
      </w:tabs>
      <w:ind w:hanging="545"/>
    </w:pPr>
  </w:style>
  <w:style w:type="character" w:styleId="GPSDefinitionL2Char" w:customStyle="1">
    <w:name w:val="GPS Definition L2 Char"/>
    <w:rPr>
      <w:rFonts w:ascii="Arial" w:cs="Arial" w:eastAsia="Times New Roman" w:hAnsi="Arial"/>
      <w:sz w:val="22"/>
      <w:szCs w:val="22"/>
      <w:lang w:eastAsia="en-US"/>
    </w:rPr>
  </w:style>
  <w:style w:type="paragraph" w:styleId="GPSDefinitionL3" w:customStyle="1">
    <w:name w:val="GPS Definition L3"/>
    <w:basedOn w:val="GPSDefinitionL2"/>
  </w:style>
  <w:style w:type="paragraph" w:styleId="GPSDefinitionL4" w:customStyle="1">
    <w:name w:val="GPS Definition L4"/>
    <w:basedOn w:val="GPSDefinitionL3"/>
    <w:pPr>
      <w:tabs>
        <w:tab w:val="clear" w:pos="-576"/>
        <w:tab w:val="left" w:pos="-2316"/>
        <w:tab w:val="left" w:pos="-2100"/>
        <w:tab w:val="num" w:pos="720"/>
      </w:tabs>
      <w:ind w:left="720" w:hanging="720"/>
    </w:pPr>
  </w:style>
  <w:style w:type="character" w:styleId="GPSDefinitionL3Char" w:customStyle="1">
    <w:name w:val="GPS Definition L3 Char"/>
    <w:rPr>
      <w:rFonts w:ascii="Arial" w:cs="Arial" w:eastAsia="Times New Roman" w:hAnsi="Arial"/>
      <w:sz w:val="22"/>
      <w:szCs w:val="22"/>
      <w:lang w:eastAsia="en-US"/>
    </w:rPr>
  </w:style>
  <w:style w:type="paragraph" w:styleId="FootnoteText">
    <w:name w:val="footnote text"/>
    <w:basedOn w:val="Normal"/>
    <w:pPr>
      <w:suppressAutoHyphens w:val="0"/>
      <w:overflowPunct w:val="0"/>
      <w:autoSpaceDE w:val="0"/>
      <w:spacing w:after="240" w:line="240" w:lineRule="auto"/>
      <w:ind w:left="1418"/>
      <w:jc w:val="both"/>
    </w:pPr>
    <w:rPr>
      <w:rFonts w:ascii="Arial" w:cs="Arial" w:eastAsia="Times New Roman" w:hAnsi="Arial"/>
      <w:sz w:val="20"/>
      <w:szCs w:val="20"/>
    </w:rPr>
  </w:style>
  <w:style w:type="character" w:styleId="FootnoteTextChar" w:customStyle="1">
    <w:name w:val="Footnote Text Char"/>
    <w:basedOn w:val="DefaultParagraphFont"/>
    <w:rPr>
      <w:rFonts w:ascii="Arial" w:cs="Arial" w:eastAsia="Times New Roman" w:hAnsi="Arial"/>
      <w:lang w:eastAsia="en-US"/>
    </w:rPr>
  </w:style>
  <w:style w:type="paragraph" w:styleId="BodyText">
    <w:name w:val="Body Text"/>
    <w:basedOn w:val="Normal"/>
    <w:pPr>
      <w:spacing w:after="120"/>
    </w:pPr>
  </w:style>
  <w:style w:type="character" w:styleId="BodyTextChar" w:customStyle="1">
    <w:name w:val="Body Text Char"/>
    <w:basedOn w:val="DefaultParagraphFont"/>
    <w:rPr>
      <w:sz w:val="22"/>
      <w:szCs w:val="22"/>
      <w:lang w:eastAsia="en-US"/>
    </w:rPr>
  </w:style>
  <w:style w:type="paragraph" w:styleId="Level2Heading" w:customStyle="1">
    <w:name w:val="Level 2 Heading"/>
    <w:basedOn w:val="BodyText"/>
    <w:next w:val="BodyText2"/>
    <w:pPr>
      <w:keepNext w:val="1"/>
      <w:tabs>
        <w:tab w:val="left" w:pos="360"/>
      </w:tabs>
      <w:suppressAutoHyphens w:val="0"/>
      <w:spacing w:after="200" w:before="360" w:line="360" w:lineRule="auto"/>
      <w:outlineLvl w:val="1"/>
    </w:pPr>
    <w:rPr>
      <w:rFonts w:ascii="Arial" w:eastAsia="Times New Roman" w:hAnsi="Arial"/>
      <w:b w:val="1"/>
      <w:sz w:val="20"/>
      <w:szCs w:val="20"/>
      <w:lang w:eastAsia="en-GB"/>
    </w:rPr>
  </w:style>
  <w:style w:type="paragraph" w:styleId="Level3Number" w:customStyle="1">
    <w:name w:val="Level 3 Number"/>
    <w:basedOn w:val="BodyText"/>
    <w:pPr>
      <w:tabs>
        <w:tab w:val="left" w:pos="360"/>
      </w:tabs>
      <w:suppressAutoHyphens w:val="0"/>
      <w:spacing w:after="200" w:before="360" w:line="360" w:lineRule="auto"/>
    </w:pPr>
    <w:rPr>
      <w:rFonts w:ascii="Arial" w:eastAsia="Times New Roman" w:hAnsi="Arial"/>
      <w:sz w:val="20"/>
      <w:szCs w:val="20"/>
    </w:rPr>
  </w:style>
  <w:style w:type="paragraph" w:styleId="Level4Number" w:customStyle="1">
    <w:name w:val="Level 4 Number"/>
    <w:basedOn w:val="BodyText"/>
    <w:pPr>
      <w:tabs>
        <w:tab w:val="left" w:pos="360"/>
      </w:tabs>
      <w:suppressAutoHyphens w:val="0"/>
      <w:spacing w:after="200" w:before="360" w:line="360" w:lineRule="auto"/>
    </w:pPr>
    <w:rPr>
      <w:rFonts w:ascii="Arial" w:eastAsia="Times New Roman" w:hAnsi="Arial"/>
      <w:sz w:val="20"/>
      <w:szCs w:val="20"/>
    </w:rPr>
  </w:style>
  <w:style w:type="paragraph" w:styleId="Level5Number" w:customStyle="1">
    <w:name w:val="Level 5 Number"/>
    <w:basedOn w:val="BodyText"/>
    <w:pPr>
      <w:tabs>
        <w:tab w:val="left" w:pos="360"/>
      </w:tabs>
      <w:suppressAutoHyphens w:val="0"/>
      <w:spacing w:after="240" w:line="360" w:lineRule="auto"/>
    </w:pPr>
    <w:rPr>
      <w:rFonts w:ascii="Arial" w:eastAsia="Times New Roman" w:hAnsi="Arial"/>
      <w:sz w:val="20"/>
      <w:szCs w:val="20"/>
    </w:rPr>
  </w:style>
  <w:style w:type="paragraph" w:styleId="Level6Number" w:customStyle="1">
    <w:name w:val="Level 6 Number"/>
    <w:basedOn w:val="BodyText"/>
    <w:pPr>
      <w:tabs>
        <w:tab w:val="left" w:pos="360"/>
      </w:tabs>
      <w:suppressAutoHyphens w:val="0"/>
      <w:spacing w:after="240" w:line="360" w:lineRule="auto"/>
    </w:pPr>
    <w:rPr>
      <w:rFonts w:ascii="Arial" w:eastAsia="Times New Roman" w:hAnsi="Arial"/>
      <w:sz w:val="20"/>
      <w:szCs w:val="20"/>
    </w:rPr>
  </w:style>
  <w:style w:type="paragraph" w:styleId="Level7Number" w:customStyle="1">
    <w:name w:val="Level 7 Number"/>
    <w:basedOn w:val="BodyText"/>
    <w:pPr>
      <w:tabs>
        <w:tab w:val="left" w:pos="360"/>
      </w:tabs>
      <w:suppressAutoHyphens w:val="0"/>
      <w:spacing w:after="240" w:line="360" w:lineRule="auto"/>
    </w:pPr>
    <w:rPr>
      <w:rFonts w:ascii="Arial" w:eastAsia="Times New Roman" w:hAnsi="Arial"/>
      <w:sz w:val="20"/>
      <w:szCs w:val="20"/>
    </w:rPr>
  </w:style>
  <w:style w:type="paragraph" w:styleId="Level8Number" w:customStyle="1">
    <w:name w:val="Level 8 Number"/>
    <w:basedOn w:val="BodyText"/>
    <w:pPr>
      <w:tabs>
        <w:tab w:val="left" w:pos="-3895"/>
        <w:tab w:val="num" w:pos="720"/>
      </w:tabs>
      <w:suppressAutoHyphens w:val="0"/>
      <w:spacing w:after="240" w:line="360" w:lineRule="auto"/>
      <w:ind w:left="720" w:hanging="720"/>
    </w:pPr>
    <w:rPr>
      <w:rFonts w:ascii="Arial" w:eastAsia="Times New Roman" w:hAnsi="Arial"/>
      <w:sz w:val="20"/>
      <w:szCs w:val="20"/>
    </w:rPr>
  </w:style>
  <w:style w:type="paragraph" w:styleId="BodyText2">
    <w:name w:val="Body Text 2"/>
    <w:basedOn w:val="Normal"/>
    <w:pPr>
      <w:spacing w:after="120" w:line="480" w:lineRule="auto"/>
    </w:pPr>
  </w:style>
  <w:style w:type="character" w:styleId="BodyText2Char" w:customStyle="1">
    <w:name w:val="Body Text 2 Char"/>
    <w:basedOn w:val="DefaultParagraphFont"/>
    <w:rPr>
      <w:sz w:val="22"/>
      <w:szCs w:val="22"/>
      <w:lang w:eastAsia="en-US"/>
    </w:rPr>
  </w:style>
  <w:style w:type="character" w:styleId="GPSL2NumberedBoldHeadingChar" w:customStyle="1">
    <w:name w:val="GPS L2 Numbered Bold Heading Char"/>
    <w:rPr>
      <w:rFonts w:cs="Arial" w:eastAsia="Times New Roman"/>
      <w:b w:val="1"/>
      <w:sz w:val="22"/>
      <w:szCs w:val="22"/>
      <w:lang w:eastAsia="zh-CN"/>
    </w:rPr>
  </w:style>
  <w:style w:type="paragraph" w:styleId="GPSL2Indent" w:customStyle="1">
    <w:name w:val="GPS L2 Indent"/>
    <w:basedOn w:val="Normal"/>
    <w:pPr>
      <w:tabs>
        <w:tab w:val="left" w:pos="3402"/>
      </w:tabs>
      <w:suppressAutoHyphens w:val="0"/>
      <w:overflowPunct w:val="0"/>
      <w:autoSpaceDE w:val="0"/>
      <w:spacing w:after="220" w:line="240" w:lineRule="auto"/>
      <w:ind w:left="1134"/>
      <w:jc w:val="both"/>
    </w:pPr>
    <w:rPr>
      <w:rFonts w:cs="Arial" w:eastAsia="Times New Roman"/>
      <w:szCs w:val="24"/>
    </w:rPr>
  </w:style>
  <w:style w:type="paragraph" w:styleId="GPSL2Numbered" w:customStyle="1">
    <w:name w:val="GPS L2 Numbered"/>
    <w:basedOn w:val="GPSL2NumberedBoldHeading"/>
    <w:qFormat w:val="1"/>
    <w:pPr>
      <w:tabs>
        <w:tab w:val="left" w:pos="709"/>
      </w:tabs>
      <w:ind w:hanging="360"/>
    </w:pPr>
    <w:rPr>
      <w:b w:val="0"/>
    </w:rPr>
  </w:style>
  <w:style w:type="character" w:styleId="GPSL2NumberedChar" w:customStyle="1">
    <w:name w:val="GPS L2 Numbered Char"/>
    <w:rPr>
      <w:rFonts w:cs="Arial" w:eastAsia="Times New Roman"/>
      <w:sz w:val="22"/>
      <w:szCs w:val="22"/>
      <w:lang w:eastAsia="zh-CN"/>
    </w:rPr>
  </w:style>
  <w:style w:type="character" w:styleId="GPSL2IndentChar" w:customStyle="1">
    <w:name w:val="GPS L2 Indent Char"/>
    <w:rPr>
      <w:rFonts w:cs="Arial" w:eastAsia="Times New Roman"/>
      <w:sz w:val="22"/>
      <w:szCs w:val="24"/>
      <w:lang w:eastAsia="en-US"/>
    </w:rPr>
  </w:style>
  <w:style w:type="character" w:styleId="GPSL4numberedclauseChar" w:customStyle="1">
    <w:name w:val="GPS L4 numbered clause Char"/>
    <w:rPr>
      <w:rFonts w:cs="Arial" w:eastAsia="Times New Roman"/>
      <w:sz w:val="22"/>
      <w:lang w:eastAsia="zh-CN"/>
    </w:rPr>
  </w:style>
  <w:style w:type="paragraph" w:styleId="GPSL3Indent" w:customStyle="1">
    <w:name w:val="GPS L3 Indent"/>
    <w:basedOn w:val="Normal"/>
    <w:pPr>
      <w:tabs>
        <w:tab w:val="left" w:pos="2127"/>
      </w:tabs>
      <w:suppressAutoHyphens w:val="0"/>
      <w:spacing w:after="120" w:before="120" w:line="240" w:lineRule="auto"/>
      <w:ind w:left="2127"/>
      <w:jc w:val="both"/>
    </w:pPr>
    <w:rPr>
      <w:rFonts w:ascii="Arial" w:cs="Arial" w:eastAsia="Times New Roman" w:hAnsi="Arial"/>
      <w:lang w:eastAsia="zh-CN" w:val="en-US"/>
    </w:rPr>
  </w:style>
  <w:style w:type="character" w:styleId="GPSL3IndentChar" w:customStyle="1">
    <w:name w:val="GPS L3 Indent Char"/>
    <w:rPr>
      <w:rFonts w:ascii="Arial" w:cs="Arial" w:eastAsia="Times New Roman" w:hAnsi="Arial"/>
      <w:sz w:val="22"/>
      <w:szCs w:val="22"/>
      <w:lang w:eastAsia="zh-CN" w:val="en-US"/>
    </w:rPr>
  </w:style>
  <w:style w:type="character" w:styleId="GPSL5numberedclauseChar" w:customStyle="1">
    <w:name w:val="GPS L5 numbered clause Char"/>
    <w:rPr>
      <w:rFonts w:cs="Arial" w:eastAsia="Times New Roman"/>
      <w:sz w:val="22"/>
      <w:lang w:eastAsia="zh-CN"/>
    </w:rPr>
  </w:style>
  <w:style w:type="paragraph" w:styleId="Body3" w:customStyle="1">
    <w:name w:val="Body3"/>
    <w:basedOn w:val="Normal"/>
    <w:pPr>
      <w:suppressAutoHyphens w:val="0"/>
      <w:spacing w:after="220" w:line="240" w:lineRule="auto"/>
      <w:ind w:left="1412"/>
      <w:jc w:val="both"/>
    </w:pPr>
    <w:rPr>
      <w:rFonts w:ascii="Trebuchet MS" w:eastAsia="Times New Roman" w:hAnsi="Trebuchet MS"/>
      <w:sz w:val="20"/>
      <w:szCs w:val="20"/>
    </w:rPr>
  </w:style>
  <w:style w:type="paragraph" w:styleId="GPSDefinitionTerm" w:customStyle="1">
    <w:name w:val="GPS Definition Term"/>
    <w:basedOn w:val="Normal"/>
    <w:pPr>
      <w:suppressAutoHyphens w:val="0"/>
      <w:overflowPunct w:val="0"/>
      <w:autoSpaceDE w:val="0"/>
      <w:spacing w:after="120" w:line="240" w:lineRule="auto"/>
      <w:ind w:left="-108"/>
    </w:pPr>
    <w:rPr>
      <w:rFonts w:cs="Arial" w:eastAsia="Times New Roman"/>
      <w:b w:val="1"/>
    </w:rPr>
  </w:style>
  <w:style w:type="character" w:styleId="Heading7Char" w:customStyle="1">
    <w:name w:val="Heading 7 Char"/>
    <w:basedOn w:val="DefaultParagraphFont"/>
    <w:rPr>
      <w:rFonts w:ascii="Arial" w:eastAsia="Times New Roman" w:hAnsi="Arial"/>
      <w:sz w:val="22"/>
      <w:szCs w:val="22"/>
      <w:lang w:eastAsia="en-US"/>
    </w:rPr>
  </w:style>
  <w:style w:type="character" w:styleId="Heading8Char" w:customStyle="1">
    <w:name w:val="Heading 8 Char"/>
    <w:basedOn w:val="DefaultParagraphFont"/>
    <w:rPr>
      <w:rFonts w:ascii="Arial" w:eastAsia="Times New Roman" w:hAnsi="Arial"/>
      <w:sz w:val="22"/>
      <w:szCs w:val="22"/>
      <w:lang w:eastAsia="en-US"/>
    </w:rPr>
  </w:style>
  <w:style w:type="paragraph" w:styleId="GPSL4boldheading" w:customStyle="1">
    <w:name w:val="GPS L4 bold heading"/>
    <w:basedOn w:val="GPSL3numberedclause"/>
    <w:pPr>
      <w:numPr>
        <w:numId w:val="7"/>
      </w:numPr>
    </w:pPr>
    <w:rPr>
      <w:b w:val="1"/>
    </w:rPr>
  </w:style>
  <w:style w:type="character" w:styleId="GPSL4boldheadingChar" w:customStyle="1">
    <w:name w:val="GPS L4 bold heading Char"/>
    <w:rPr>
      <w:rFonts w:cs="Arial" w:eastAsia="Times New Roman"/>
      <w:b w:val="1"/>
      <w:sz w:val="22"/>
      <w:szCs w:val="22"/>
      <w:lang w:eastAsia="zh-CN"/>
    </w:rPr>
  </w:style>
  <w:style w:type="numbering" w:styleId="WWOutlineListStyle7" w:customStyle="1">
    <w:name w:val="WW_OutlineListStyle_7"/>
    <w:basedOn w:val="NoList"/>
  </w:style>
  <w:style w:type="numbering" w:styleId="WWOutlineListStyle6" w:customStyle="1">
    <w:name w:val="WW_OutlineListStyle_6"/>
    <w:basedOn w:val="NoList"/>
  </w:style>
  <w:style w:type="numbering" w:styleId="WWOutlineListStyle5" w:customStyle="1">
    <w:name w:val="WW_OutlineListStyle_5"/>
    <w:basedOn w:val="NoList"/>
  </w:style>
  <w:style w:type="numbering" w:styleId="WWOutlineListStyle4" w:customStyle="1">
    <w:name w:val="WW_OutlineListStyle_4"/>
    <w:basedOn w:val="NoList"/>
  </w:style>
  <w:style w:type="numbering" w:styleId="WWOutlineListStyle3" w:customStyle="1">
    <w:name w:val="WW_OutlineListStyle_3"/>
    <w:basedOn w:val="NoList"/>
  </w:style>
  <w:style w:type="numbering" w:styleId="WWOutlineListStyle2" w:customStyle="1">
    <w:name w:val="WW_OutlineListStyle_2"/>
    <w:basedOn w:val="NoList"/>
  </w:style>
  <w:style w:type="numbering" w:styleId="WWOutlineListStyle1" w:customStyle="1">
    <w:name w:val="WW_OutlineListStyle_1"/>
    <w:basedOn w:val="NoList"/>
  </w:style>
  <w:style w:type="numbering" w:styleId="WWOutlineListStyle" w:customStyle="1">
    <w:name w:val="WW_OutlineListStyle"/>
    <w:basedOn w:val="NoList"/>
  </w:style>
  <w:style w:type="numbering" w:styleId="LFO7" w:customStyle="1">
    <w:name w:val="LFO7"/>
    <w:basedOn w:val="NoList"/>
  </w:style>
  <w:style w:type="numbering" w:styleId="LFO9" w:customStyle="1">
    <w:name w:val="LFO9"/>
    <w:basedOn w:val="NoList"/>
  </w:style>
  <w:style w:type="numbering" w:styleId="LFO10" w:customStyle="1">
    <w:name w:val="LFO10"/>
    <w:basedOn w:val="NoList"/>
  </w:style>
  <w:style w:type="numbering" w:styleId="LFO12" w:customStyle="1">
    <w:name w:val="LFO12"/>
    <w:basedOn w:val="NoList"/>
  </w:style>
  <w:style w:type="numbering" w:styleId="LFO13" w:customStyle="1">
    <w:name w:val="LFO13"/>
    <w:basedOn w:val="NoList"/>
  </w:style>
  <w:style w:type="table" w:styleId="LightShading-Accent5">
    <w:name w:val="Light Shading Accent 5"/>
    <w:basedOn w:val="TableNormal"/>
    <w:uiPriority w:val="60"/>
    <w:rPr>
      <w:color w:val="31849b" w:themeColor="accent5" w:themeShade="0000BF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</w:style>
  <w:style w:type="table" w:styleId="TableGrid">
    <w:name w:val="Table Grid"/>
    <w:basedOn w:val="TableNormal"/>
    <w:uiPriority w:val="59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ListTable3-Accent51" w:customStyle="1">
    <w:name w:val="List Table 3 - Accent 51"/>
    <w:basedOn w:val="TableNormal"/>
    <w:uiPriority w:val="48"/>
    <w:tblPr>
      <w:tblStyleRowBandSize w:val="1"/>
      <w:tblStyleColBandSize w:val="1"/>
      <w:tblBorders>
        <w:top w:color="4bacc6" w:space="0" w:sz="4" w:themeColor="accent5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</w:tblBorders>
    </w:tblPr>
    <w:tblStylePr w:type="firstRow">
      <w:rPr>
        <w:b w:val="1"/>
        <w:bCs w:val="1"/>
        <w:color w:val="ffffff" w:themeColor="background1"/>
      </w:rPr>
      <w:tblPr/>
      <w:tcPr>
        <w:shd w:color="auto" w:fill="4bacc6" w:themeFill="accent5" w:val="clear"/>
      </w:tcPr>
    </w:tblStylePr>
    <w:tblStylePr w:type="lastRow">
      <w:rPr>
        <w:b w:val="1"/>
        <w:bCs w:val="1"/>
      </w:rPr>
      <w:tblPr/>
      <w:tcPr>
        <w:tcBorders>
          <w:top w:color="4bacc6" w:space="0" w:sz="4" w:themeColor="accent5" w:val="double"/>
        </w:tcBorders>
        <w:shd w:color="auto" w:fill="ffffff" w:themeFill="background1" w:val="clear"/>
      </w:tcPr>
    </w:tblStylePr>
    <w:tblStylePr w:type="firstCol">
      <w:rPr>
        <w:b w:val="1"/>
        <w:bCs w:val="1"/>
      </w:rPr>
      <w:tblPr/>
      <w:tcPr>
        <w:tcBorders>
          <w:right w:space="0" w:sz="0" w:val="nil"/>
        </w:tcBorders>
        <w:shd w:color="auto" w:fill="ffffff" w:themeFill="background1" w:val="clear"/>
      </w:tcPr>
    </w:tblStylePr>
    <w:tblStylePr w:type="lastCol">
      <w:rPr>
        <w:b w:val="1"/>
        <w:bCs w:val="1"/>
      </w:rPr>
      <w:tblPr/>
      <w:tcPr>
        <w:tcBorders>
          <w:left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color="4bacc6" w:space="0" w:sz="4" w:themeColor="accent5" w:val="single"/>
          <w:right w:color="4bacc6" w:space="0" w:sz="4" w:themeColor="accent5" w:val="single"/>
        </w:tcBorders>
      </w:tcPr>
    </w:tblStylePr>
    <w:tblStylePr w:type="band1Horz">
      <w:tblPr/>
      <w:tcPr>
        <w:tcBorders>
          <w:top w:color="4bacc6" w:space="0" w:sz="4" w:themeColor="accent5" w:val="single"/>
          <w:bottom w:color="4bacc6" w:space="0" w:sz="4" w:themeColor="accent5" w:val="single"/>
          <w:insideH w:space="0" w:sz="0" w:val="nil"/>
        </w:tcBorders>
      </w:tcPr>
    </w:tblStylePr>
    <w:tblStylePr w:type="neCell">
      <w:tblPr/>
      <w:tcPr>
        <w:tcBorders>
          <w:left w:space="0" w:sz="0" w:val="nil"/>
          <w:bottom w:space="0" w:sz="0" w:val="nil"/>
        </w:tcBorders>
      </w:tcPr>
    </w:tblStylePr>
    <w:tblStylePr w:type="nwCell">
      <w:tblPr/>
      <w:tcPr>
        <w:tcBorders>
          <w:bottom w:space="0" w:sz="0" w:val="nil"/>
          <w:right w:space="0" w:sz="0" w:val="nil"/>
        </w:tcBorders>
      </w:tcPr>
    </w:tblStylePr>
    <w:tblStylePr w:type="seCell">
      <w:tblPr/>
      <w:tcPr>
        <w:tcBorders>
          <w:top w:color="4bacc6" w:space="0" w:sz="4" w:themeColor="accent5" w:val="double"/>
          <w:left w:space="0" w:sz="0" w:val="nil"/>
        </w:tcBorders>
      </w:tcPr>
    </w:tblStylePr>
    <w:tblStylePr w:type="swCell">
      <w:tblPr/>
      <w:tcPr>
        <w:tcBorders>
          <w:top w:color="4bacc6" w:space="0" w:sz="4" w:themeColor="accent5" w:val="double"/>
          <w:right w:space="0" w:sz="0" w:val="nil"/>
        </w:tcBorders>
      </w:tcPr>
    </w:tblStylePr>
  </w:style>
  <w:style w:type="table" w:styleId="GridTable2-Accent51" w:customStyle="1">
    <w:name w:val="Grid Table 2 - Accent 51"/>
    <w:basedOn w:val="TableNormal"/>
    <w:uiPriority w:val="47"/>
    <w:tblPr>
      <w:tblStyleRowBandSize w:val="1"/>
      <w:tblStyleColBandSize w:val="1"/>
      <w:tblBorders>
        <w:top w:color="92cddc" w:space="0" w:sz="2" w:themeColor="accent5" w:themeTint="000099" w:val="single"/>
        <w:bottom w:color="92cddc" w:space="0" w:sz="2" w:themeColor="accent5" w:themeTint="000099" w:val="single"/>
        <w:insideH w:color="92cddc" w:space="0" w:sz="2" w:themeColor="accent5" w:themeTint="000099" w:val="single"/>
        <w:insideV w:color="92cddc" w:space="0" w:sz="2" w:themeColor="accent5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bottom w:color="92cddc" w:space="0" w:sz="12" w:themeColor="accent5" w:themeTint="000099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top w:color="92cddc" w:space="0" w:sz="2" w:themeColor="accent5" w:themeTint="000099" w:val="double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aeef3" w:themeFill="accent5" w:themeFillTint="000033" w:val="clear"/>
      </w:tcPr>
    </w:tblStylePr>
    <w:tblStylePr w:type="band1Horz">
      <w:tblPr/>
      <w:tcPr>
        <w:shd w:color="auto" w:fill="daeef3" w:themeFill="accent5" w:themeFillTint="000033" w:val="clear"/>
      </w:tcPr>
    </w:tblStylePr>
  </w:style>
  <w:style w:type="table" w:styleId="GridTable2-Accent11" w:customStyle="1">
    <w:name w:val="Grid Table 2 - Accent 11"/>
    <w:basedOn w:val="TableNormal"/>
    <w:uiPriority w:val="47"/>
    <w:tblPr>
      <w:tblStyleRowBandSize w:val="1"/>
      <w:tblStyleColBandSize w:val="1"/>
      <w:tblBorders>
        <w:top w:color="95b3d7" w:space="0" w:sz="2" w:themeColor="accent1" w:themeTint="000099" w:val="single"/>
        <w:bottom w:color="95b3d7" w:space="0" w:sz="2" w:themeColor="accent1" w:themeTint="000099" w:val="single"/>
        <w:insideH w:color="95b3d7" w:space="0" w:sz="2" w:themeColor="accent1" w:themeTint="000099" w:val="single"/>
        <w:insideV w:color="95b3d7" w:space="0" w:sz="2" w:themeColor="accent1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bottom w:color="95b3d7" w:space="0" w:sz="12" w:themeColor="accent1" w:themeTint="000099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top w:color="95b3d7" w:space="0" w:sz="2" w:themeColor="accent1" w:themeTint="000099" w:val="double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be5f1" w:themeFill="accent1" w:themeFillTint="000033" w:val="clear"/>
      </w:tcPr>
    </w:tblStylePr>
    <w:tblStylePr w:type="band1Horz">
      <w:tblPr/>
      <w:tcPr>
        <w:shd w:color="auto" w:fill="dbe5f1" w:themeFill="accent1" w:themeFillTint="000033" w:val="clear"/>
      </w:tcPr>
    </w:tblStylePr>
  </w:style>
  <w:style w:type="table" w:styleId="GridTable4-Accent11" w:customStyle="1">
    <w:name w:val="Grid Table 4 - Accent 11"/>
    <w:basedOn w:val="TableNormal"/>
    <w:uiPriority w:val="49"/>
    <w:tblPr>
      <w:tblStyleRowBandSize w:val="1"/>
      <w:tblStyleColBandSize w:val="1"/>
      <w:tblBorders>
        <w:top w:color="95b3d7" w:space="0" w:sz="4" w:themeColor="accent1" w:themeTint="000099" w:val="single"/>
        <w:left w:color="95b3d7" w:space="0" w:sz="4" w:themeColor="accent1" w:themeTint="000099" w:val="single"/>
        <w:bottom w:color="95b3d7" w:space="0" w:sz="4" w:themeColor="accent1" w:themeTint="000099" w:val="single"/>
        <w:right w:color="95b3d7" w:space="0" w:sz="4" w:themeColor="accent1" w:themeTint="000099" w:val="single"/>
        <w:insideH w:color="95b3d7" w:space="0" w:sz="4" w:themeColor="accent1" w:themeTint="000099" w:val="single"/>
        <w:insideV w:color="95b3d7" w:space="0" w:sz="4" w:themeColor="accent1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4f81bd" w:space="0" w:sz="4" w:themeColor="accent1" w:val="single"/>
          <w:left w:color="4f81bd" w:space="0" w:sz="4" w:themeColor="accent1" w:val="single"/>
          <w:bottom w:color="4f81bd" w:space="0" w:sz="4" w:themeColor="accent1" w:val="single"/>
          <w:right w:color="4f81bd" w:space="0" w:sz="4" w:themeColor="accent1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rPr>
        <w:b w:val="1"/>
        <w:bCs w:val="1"/>
      </w:rPr>
      <w:tblPr/>
      <w:tcPr>
        <w:tcBorders>
          <w:top w:color="4f81bd" w:space="0" w:sz="4" w:themeColor="accent1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be5f1" w:themeFill="accent1" w:themeFillTint="000033" w:val="clear"/>
      </w:tcPr>
    </w:tblStylePr>
    <w:tblStylePr w:type="band1Horz">
      <w:tblPr/>
      <w:tcPr>
        <w:shd w:color="auto" w:fill="dbe5f1" w:themeFill="accent1" w:themeFillTint="000033" w:val="clear"/>
      </w:tcPr>
    </w:tblStylePr>
  </w:style>
  <w:style w:type="table" w:styleId="GridTable6Colorful-Accent11" w:customStyle="1">
    <w:name w:val="Grid Table 6 Colorful - Accent 11"/>
    <w:basedOn w:val="TableNormal"/>
    <w:uiPriority w:val="51"/>
    <w:rPr>
      <w:color w:val="365f91" w:themeColor="accent1" w:themeShade="0000BF"/>
    </w:rPr>
    <w:tblPr>
      <w:tblStyleRowBandSize w:val="1"/>
      <w:tblStyleColBandSize w:val="1"/>
      <w:tblBorders>
        <w:top w:color="95b3d7" w:space="0" w:sz="4" w:themeColor="accent1" w:themeTint="000099" w:val="single"/>
        <w:left w:color="95b3d7" w:space="0" w:sz="4" w:themeColor="accent1" w:themeTint="000099" w:val="single"/>
        <w:bottom w:color="95b3d7" w:space="0" w:sz="4" w:themeColor="accent1" w:themeTint="000099" w:val="single"/>
        <w:right w:color="95b3d7" w:space="0" w:sz="4" w:themeColor="accent1" w:themeTint="000099" w:val="single"/>
        <w:insideH w:color="95b3d7" w:space="0" w:sz="4" w:themeColor="accent1" w:themeTint="000099" w:val="single"/>
        <w:insideV w:color="95b3d7" w:space="0" w:sz="4" w:themeColor="accent1" w:themeTint="000099" w:val="single"/>
      </w:tblBorders>
    </w:tblPr>
    <w:tblStylePr w:type="firstRow">
      <w:rPr>
        <w:b w:val="1"/>
        <w:bCs w:val="1"/>
      </w:rPr>
      <w:tblPr/>
      <w:tcPr>
        <w:tcBorders>
          <w:bottom w:color="95b3d7" w:space="0" w:sz="12" w:themeColor="accent1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95b3d7" w:space="0" w:sz="4" w:themeColor="accent1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be5f1" w:themeFill="accent1" w:themeFillTint="000033" w:val="clear"/>
      </w:tcPr>
    </w:tblStylePr>
    <w:tblStylePr w:type="band1Horz">
      <w:tblPr/>
      <w:tcPr>
        <w:shd w:color="auto" w:fill="dbe5f1" w:themeFill="accent1" w:themeFillTint="000033" w:val="clear"/>
      </w:tcPr>
    </w:tblStylePr>
  </w:style>
  <w:style w:type="paragraph" w:styleId="EndnoteText">
    <w:name w:val="endnote text"/>
    <w:basedOn w:val="Normal"/>
    <w:link w:val="EndnoteTextChar"/>
    <w:uiPriority w:val="99"/>
    <w:semiHidden w:val="1"/>
    <w:unhideWhenUsed w:val="1"/>
    <w:pPr>
      <w:spacing w:after="0" w:line="240" w:lineRule="auto"/>
    </w:pPr>
    <w:rPr>
      <w:sz w:val="20"/>
      <w:szCs w:val="20"/>
    </w:rPr>
  </w:style>
  <w:style w:type="character" w:styleId="EndnoteTextChar" w:customStyle="1">
    <w:name w:val="Endnote Text Char"/>
    <w:basedOn w:val="DefaultParagraphFont"/>
    <w:link w:val="EndnoteText"/>
    <w:uiPriority w:val="99"/>
    <w:semiHidden w:val="1"/>
    <w:rPr>
      <w:lang w:eastAsia="en-US"/>
    </w:rPr>
  </w:style>
  <w:style w:type="character" w:styleId="EndnoteReference">
    <w:name w:val="endnote reference"/>
    <w:basedOn w:val="DefaultParagraphFont"/>
    <w:uiPriority w:val="99"/>
    <w:semiHidden w:val="1"/>
    <w:unhideWhenUsed w:val="1"/>
    <w:rPr>
      <w:vertAlign w:val="superscript"/>
    </w:rPr>
  </w:style>
  <w:style w:type="table" w:styleId="LightList">
    <w:name w:val="Light List"/>
    <w:basedOn w:val="TableNormal"/>
    <w:uiPriority w:val="61"/>
    <w:rsid w:val="00AB5036"/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type="character" w:styleId="Hyperlink">
    <w:name w:val="Hyperlink"/>
    <w:basedOn w:val="DefaultParagraphFont"/>
    <w:uiPriority w:val="99"/>
    <w:unhideWhenUsed w:val="1"/>
    <w:rsid w:val="00D40441"/>
    <w:rPr>
      <w:color w:val="0000ff" w:themeColor="hyperlink"/>
      <w:u w:val="single"/>
    </w:rPr>
  </w:style>
  <w:style w:type="paragraph" w:styleId="Subtitle">
    <w:name w:val="Subtitle"/>
    <w:basedOn w:val="Normal"/>
    <w:next w:val="Normal"/>
    <w:uiPriority w:val="11"/>
    <w:qFormat w:val="1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rPr>
      <w:color w:val="366091"/>
    </w:rPr>
    <w:tblPr>
      <w:tblStyleRowBandSize w:val="1"/>
      <w:tblStyleColBandSize w:val="1"/>
    </w:tblPr>
    <w:tblStylePr w:type="firstRow">
      <w:pPr>
        <w:spacing w:after="0" w:before="0" w:line="240" w:lineRule="auto"/>
      </w:pPr>
      <w:rPr>
        <w:b w:val="1"/>
        <w:color w:val="ffffff"/>
      </w:rPr>
      <w:tblPr/>
      <w:tcPr>
        <w:shd w:color="auto" w:fill="000000" w:val="clear"/>
      </w:tcPr>
    </w:tblStylePr>
    <w:tblStylePr w:type="lastRow">
      <w:pPr>
        <w:spacing w:after="0" w:before="0" w:line="240" w:lineRule="auto"/>
      </w:pPr>
      <w:rPr>
        <w:b w:val="1"/>
      </w:rPr>
      <w:tblPr/>
      <w:tcPr>
        <w:tcBorders>
          <w:top w:color="000000" w:space="0" w:sz="6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firstCol">
      <w:rPr>
        <w:b w:val="1"/>
      </w:rPr>
    </w:tblStylePr>
    <w:tblStylePr w:type="lastCol">
      <w:rPr>
        <w:b w:val="1"/>
      </w:rPr>
    </w:tblStylePr>
    <w:tblStylePr w:type="band1Vert">
      <w:tblPr/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band1Horz">
      <w:tblPr/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</w:style>
  <w:style w:type="table" w:styleId="a0" w:customStyle="1">
    <w:basedOn w:val="TableNormal"/>
    <w:rPr>
      <w:color w:val="366091"/>
    </w:rPr>
    <w:tblPr>
      <w:tblStyleRowBandSize w:val="1"/>
      <w:tblStyleColBandSize w:val="1"/>
    </w:tblPr>
  </w:style>
  <w:style w:type="table" w:styleId="a1" w:customStyle="1">
    <w:basedOn w:val="TableNormal"/>
    <w:rPr>
      <w:color w:val="366091"/>
    </w:rPr>
    <w:tblPr>
      <w:tblStyleRowBandSize w:val="1"/>
      <w:tblStyleColBandSize w:val="1"/>
    </w:tblPr>
    <w:tblStylePr w:type="firstRow">
      <w:rPr>
        <w:b w:val="1"/>
      </w:rPr>
      <w:tblPr/>
      <w:tcPr>
        <w:tcBorders>
          <w:top w:space="0" w:sz="0" w:val="nil"/>
          <w:bottom w:color="95b3d7" w:space="0" w:sz="12" w:val="single"/>
          <w:insideH w:space="0" w:sz="0" w:val="nil"/>
          <w:insideV w:space="0" w:sz="0" w:val="nil"/>
        </w:tcBorders>
        <w:shd w:color="auto" w:fill="ffffff" w:val="clear"/>
      </w:tcPr>
    </w:tblStylePr>
    <w:tblStylePr w:type="lastRow">
      <w:rPr>
        <w:b w:val="1"/>
      </w:rPr>
      <w:tblPr/>
      <w:tcPr>
        <w:tcBorders>
          <w:top w:color="95b3d7" w:space="0" w:sz="4" w:val="single"/>
          <w:bottom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firstCol">
      <w:rPr>
        <w:b w:val="1"/>
      </w:rPr>
    </w:tblStylePr>
    <w:tblStylePr w:type="lastCol">
      <w:rPr>
        <w:b w:val="1"/>
      </w:rPr>
    </w:tblStylePr>
    <w:tblStylePr w:type="band1Vert">
      <w:tblPr/>
      <w:tcPr>
        <w:shd w:color="auto" w:fill="dbe5f1" w:val="clear"/>
      </w:tcPr>
    </w:tblStylePr>
    <w:tblStylePr w:type="band1Horz">
      <w:tblPr/>
      <w:tcPr>
        <w:shd w:color="auto" w:fill="dbe5f1" w:val="clear"/>
      </w:tcPr>
    </w:tblStylePr>
  </w:style>
  <w:style w:type="paragraph" w:styleId="BodyTextIndent">
    <w:name w:val="Body Text Indent"/>
    <w:basedOn w:val="Normal"/>
    <w:link w:val="BodyTextIndentChar"/>
    <w:uiPriority w:val="99"/>
    <w:semiHidden w:val="1"/>
    <w:unhideWhenUsed w:val="1"/>
    <w:rsid w:val="00153488"/>
    <w:pPr>
      <w:spacing w:after="120"/>
      <w:ind w:left="283"/>
    </w:pPr>
  </w:style>
  <w:style w:type="character" w:styleId="BodyTextIndentChar" w:customStyle="1">
    <w:name w:val="Body Text Indent Char"/>
    <w:basedOn w:val="DefaultParagraphFont"/>
    <w:link w:val="BodyTextIndent"/>
    <w:uiPriority w:val="99"/>
    <w:semiHidden w:val="1"/>
    <w:rsid w:val="00153488"/>
  </w:style>
  <w:style w:type="character" w:styleId="Heading3Char" w:customStyle="1">
    <w:name w:val="Heading 3 Char"/>
    <w:aliases w:val="H3 Char,Prophead 3 Char,h3 Char,HHHeading Char,Heading 31 Char,Heading 32 Char,Heading 33 Char,Heading 34 Char,Heading 35 Char,Heading 36 Char,H31 Char,H32 Char,H33 Char,H34 Char,H35 Char,H36 Char,3 Char,Numbered - 3 Char,HeadC Char"/>
    <w:basedOn w:val="DefaultParagraphFont"/>
    <w:link w:val="Heading3"/>
    <w:rsid w:val="000F0E86"/>
    <w:rPr>
      <w:b w:val="1"/>
      <w:sz w:val="28"/>
      <w:szCs w:val="28"/>
    </w:rPr>
  </w:style>
  <w:style w:type="character" w:styleId="UnresolvedMention1" w:customStyle="1">
    <w:name w:val="Unresolved Mention1"/>
    <w:basedOn w:val="DefaultParagraphFont"/>
    <w:uiPriority w:val="99"/>
    <w:semiHidden w:val="1"/>
    <w:unhideWhenUsed w:val="1"/>
    <w:rsid w:val="00342132"/>
    <w:rPr>
      <w:color w:val="605e5c"/>
      <w:shd w:color="auto" w:fill="e1dfdd" w:val="clear"/>
    </w:rPr>
  </w:style>
  <w:style w:type="character" w:styleId="UnresolvedMention2" w:customStyle="1">
    <w:name w:val="Unresolved Mention2"/>
    <w:basedOn w:val="DefaultParagraphFont"/>
    <w:uiPriority w:val="99"/>
    <w:semiHidden w:val="1"/>
    <w:unhideWhenUsed w:val="1"/>
    <w:rsid w:val="007D6F0C"/>
    <w:rPr>
      <w:color w:val="605e5c"/>
      <w:shd w:color="auto" w:fill="e1dfdd" w:val="clear"/>
    </w:rPr>
  </w:style>
  <w:style w:type="table" w:styleId="a2" w:customStyle="1">
    <w:basedOn w:val="TableNormal"/>
    <w:rPr>
      <w:color w:val="366091"/>
    </w:rPr>
    <w:tblPr>
      <w:tblStyleRowBandSize w:val="1"/>
      <w:tblStyleColBandSize w:val="1"/>
    </w:tblPr>
    <w:tblStylePr w:type="firstRow">
      <w:pPr>
        <w:spacing w:after="0" w:before="0" w:line="240" w:lineRule="auto"/>
      </w:pPr>
      <w:rPr>
        <w:b w:val="1"/>
        <w:color w:val="ffffff"/>
      </w:rPr>
      <w:tblPr/>
      <w:tcPr>
        <w:shd w:color="auto" w:fill="000000" w:val="clear"/>
      </w:tcPr>
    </w:tblStylePr>
    <w:tblStylePr w:type="lastRow">
      <w:pPr>
        <w:spacing w:after="0" w:before="0" w:line="240" w:lineRule="auto"/>
      </w:pPr>
      <w:rPr>
        <w:b w:val="1"/>
      </w:rPr>
      <w:tblPr/>
      <w:tcPr>
        <w:tcBorders>
          <w:top w:color="000000" w:space="0" w:sz="6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firstCol">
      <w:rPr>
        <w:b w:val="1"/>
      </w:rPr>
    </w:tblStylePr>
    <w:tblStylePr w:type="lastCol">
      <w:rPr>
        <w:b w:val="1"/>
      </w:rPr>
    </w:tblStylePr>
    <w:tblStylePr w:type="band1Vert">
      <w:tblPr/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band1Horz">
      <w:tblPr/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</w:style>
  <w:style w:type="table" w:styleId="a3" w:customStyle="1">
    <w:basedOn w:val="TableNormal"/>
    <w:rPr>
      <w:color w:val="366091"/>
    </w:rPr>
    <w:tblPr>
      <w:tblStyleRowBandSize w:val="1"/>
      <w:tblStyleColBandSize w:val="1"/>
    </w:tblPr>
  </w:style>
  <w:style w:type="table" w:styleId="a4" w:customStyle="1">
    <w:basedOn w:val="TableNormal"/>
    <w:rPr>
      <w:color w:val="366091"/>
    </w:rPr>
    <w:tblPr>
      <w:tblStyleRowBandSize w:val="1"/>
      <w:tblStyleColBandSize w:val="1"/>
    </w:tblPr>
    <w:tblStylePr w:type="firstRow">
      <w:rPr>
        <w:b w:val="1"/>
      </w:rPr>
      <w:tblPr/>
      <w:tcPr>
        <w:tcBorders>
          <w:top w:space="0" w:sz="0" w:val="nil"/>
          <w:bottom w:color="95b3d7" w:space="0" w:sz="12" w:val="single"/>
          <w:insideH w:space="0" w:sz="0" w:val="nil"/>
          <w:insideV w:space="0" w:sz="0" w:val="nil"/>
        </w:tcBorders>
        <w:shd w:color="auto" w:fill="ffffff" w:val="clear"/>
      </w:tcPr>
    </w:tblStylePr>
    <w:tblStylePr w:type="lastRow">
      <w:rPr>
        <w:b w:val="1"/>
      </w:rPr>
      <w:tblPr/>
      <w:tcPr>
        <w:tcBorders>
          <w:top w:color="95b3d7" w:space="0" w:sz="4" w:val="single"/>
          <w:bottom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firstCol">
      <w:rPr>
        <w:b w:val="1"/>
      </w:rPr>
    </w:tblStylePr>
    <w:tblStylePr w:type="lastCol">
      <w:rPr>
        <w:b w:val="1"/>
      </w:rPr>
    </w:tblStylePr>
    <w:tblStylePr w:type="band1Vert">
      <w:tblPr/>
      <w:tcPr>
        <w:shd w:color="auto" w:fill="dbe5f1" w:val="clear"/>
      </w:tcPr>
    </w:tblStylePr>
    <w:tblStylePr w:type="band1Horz">
      <w:tblPr/>
      <w:tcPr>
        <w:shd w:color="auto" w:fill="dbe5f1" w:val="clear"/>
      </w:tcPr>
    </w:tblStyle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color w:val="366091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  <w:tblStylePr w:type="band1Horz"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band1Vert"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firstCol">
      <w:rPr>
        <w:b w:val="1"/>
      </w:rPr>
    </w:tblStylePr>
    <w:tblStylePr w:type="firstRow">
      <w:pPr>
        <w:spacing w:after="0" w:before="0" w:line="240" w:lineRule="auto"/>
      </w:pPr>
      <w:rPr>
        <w:b w:val="1"/>
        <w:color w:val="ffffff"/>
      </w:rPr>
      <w:tcPr>
        <w:shd w:fill="000000" w:val="clear"/>
      </w:tcPr>
    </w:tblStylePr>
    <w:tblStylePr w:type="lastCol">
      <w:rPr>
        <w:b w:val="1"/>
      </w:rPr>
    </w:tblStylePr>
    <w:tblStylePr w:type="lastRow">
      <w:pPr>
        <w:spacing w:after="0" w:before="0" w:line="240" w:lineRule="auto"/>
      </w:pPr>
      <w:rPr>
        <w:b w:val="1"/>
      </w:rPr>
      <w:tcPr>
        <w:tcBorders>
          <w:top w:color="000000" w:space="0" w:sz="6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</w:style>
  <w:style w:type="table" w:styleId="Table2">
    <w:basedOn w:val="TableNormal"/>
    <w:rPr>
      <w:color w:val="366091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rPr>
      <w:color w:val="366091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  <w:tblStylePr w:type="band1Horz">
      <w:tcPr>
        <w:shd w:fill="dbe5f1" w:val="clear"/>
      </w:tcPr>
    </w:tblStylePr>
    <w:tblStylePr w:type="band1Vert">
      <w:tcPr>
        <w:shd w:fill="dbe5f1" w:val="clear"/>
      </w:tcPr>
    </w:tblStylePr>
    <w:tblStylePr w:type="firstCol">
      <w:rPr>
        <w:b w:val="1"/>
      </w:rPr>
    </w:tblStylePr>
    <w:tblStylePr w:type="firstRow">
      <w:rPr>
        <w:b w:val="1"/>
      </w:rPr>
      <w:tcPr>
        <w:tcBorders>
          <w:top w:color="000000" w:space="0" w:sz="0" w:val="nil"/>
          <w:bottom w:color="95b3d7" w:space="0" w:sz="12" w:val="single"/>
          <w:insideH w:color="000000" w:space="0" w:sz="0" w:val="nil"/>
          <w:insideV w:color="000000" w:space="0" w:sz="0" w:val="nil"/>
        </w:tcBorders>
        <w:shd w:fill="ffffff" w:val="clear"/>
      </w:tcPr>
    </w:tblStylePr>
    <w:tblStylePr w:type="lastCol">
      <w:rPr>
        <w:b w:val="1"/>
      </w:rPr>
    </w:tblStylePr>
    <w:tblStylePr w:type="lastRow">
      <w:rPr>
        <w:b w:val="1"/>
      </w:rPr>
      <w:tcPr>
        <w:tcBorders>
          <w:top w:color="95b3d7" w:space="0" w:sz="4" w:val="single"/>
          <w:bottom w:color="000000" w:space="0" w:sz="0" w:val="nil"/>
          <w:insideH w:color="000000" w:space="0" w:sz="0" w:val="nil"/>
          <w:insideV w:color="000000" w:space="0" w:sz="0" w:val="nil"/>
        </w:tcBorders>
        <w:shd w:fill="ffffff" w:val="clear"/>
      </w:tcPr>
    </w:tblStyle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2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-regular.ttf"/><Relationship Id="rId2" Type="http://schemas.openxmlformats.org/officeDocument/2006/relationships/font" Target="fonts/NotoSans-bold.ttf"/><Relationship Id="rId3" Type="http://schemas.openxmlformats.org/officeDocument/2006/relationships/font" Target="fonts/NotoSans-italic.ttf"/><Relationship Id="rId4" Type="http://schemas.openxmlformats.org/officeDocument/2006/relationships/font" Target="fonts/NotoSans-boldItalic.ttf"/><Relationship Id="rId5" Type="http://schemas.openxmlformats.org/officeDocument/2006/relationships/font" Target="fonts/NotoSansSymbols-regular.ttf"/><Relationship Id="rId6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cq3tvnlPRLjLOqRYxHqKalvBNQ==">CgMxLjAyCWguM3pueXNoNzIJaC4zMGowemxsMgloLjFmb2I5dGUyCmlkLjMwajB6bGwyCmlkLjN6bnlzaDc4AHIhMTdxZDZzWEZCLVNKbk1jc0Uxa0phaDNrdGVJX25oTlpy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2023-07-27T03:51:00Z</dcterms:creat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lato EditorId">
    <vt:lpwstr>ce4e89e0-9a44-4f1b-8c7e-ab46bbe2769c</vt:lpwstr>
  </property>
</Properties>
</file>